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5EBC44">
      <w:pPr>
        <w:spacing w:line="560" w:lineRule="exact"/>
        <w:rPr>
          <w:rFonts w:hint="eastAsia" w:ascii="黑体" w:hAnsi="黑体" w:eastAsia="黑体" w:cs="黑体"/>
          <w:sz w:val="32"/>
          <w:szCs w:val="32"/>
        </w:rPr>
      </w:pPr>
      <w:r>
        <w:rPr>
          <w:rFonts w:hint="eastAsia" w:ascii="黑体" w:hAnsi="黑体" w:eastAsia="黑体" w:cs="黑体"/>
          <w:sz w:val="32"/>
          <w:szCs w:val="32"/>
        </w:rPr>
        <w:t>附件1</w:t>
      </w:r>
    </w:p>
    <w:p w14:paraId="7D6961DA">
      <w:pPr>
        <w:pStyle w:val="2"/>
        <w:spacing w:before="0" w:after="0" w:line="240" w:lineRule="auto"/>
        <w:jc w:val="center"/>
        <w:rPr>
          <w:rFonts w:ascii="Times New Roman" w:hAnsi="Times New Roman" w:eastAsia="黑体" w:cs="Times New Roman"/>
          <w:sz w:val="32"/>
          <w:szCs w:val="32"/>
        </w:rPr>
      </w:pPr>
      <w:r>
        <w:rPr>
          <w:rFonts w:ascii="Times New Roman" w:hAnsi="Times New Roman" w:eastAsia="黑体" w:cs="Times New Roman"/>
          <w:sz w:val="32"/>
          <w:szCs w:val="32"/>
        </w:rPr>
        <w:t>2024年度东北师范大学教师教育创新实验区</w:t>
      </w:r>
    </w:p>
    <w:p w14:paraId="4EDBF0CA">
      <w:pPr>
        <w:pStyle w:val="8"/>
        <w:widowControl/>
        <w:spacing w:beforeAutospacing="0" w:afterAutospacing="0" w:line="560" w:lineRule="exact"/>
        <w:jc w:val="center"/>
        <w:rPr>
          <w:rFonts w:ascii="Times New Roman" w:hAnsi="Times New Roman"/>
          <w:spacing w:val="-20"/>
          <w:sz w:val="32"/>
          <w:szCs w:val="32"/>
        </w:rPr>
      </w:pPr>
      <w:r>
        <w:rPr>
          <w:rFonts w:ascii="Times New Roman" w:hAnsi="Times New Roman" w:eastAsia="黑体"/>
          <w:sz w:val="32"/>
          <w:szCs w:val="32"/>
        </w:rPr>
        <w:t>基础教育研究基金项目</w:t>
      </w:r>
      <w:r>
        <w:rPr>
          <w:rFonts w:hint="eastAsia" w:ascii="Times New Roman" w:hAnsi="Times New Roman" w:eastAsia="黑体"/>
          <w:sz w:val="32"/>
          <w:szCs w:val="32"/>
          <w:lang w:val="en-US" w:eastAsia="zh-CN"/>
        </w:rPr>
        <w:t>大中协同研究类</w:t>
      </w:r>
      <w:r>
        <w:rPr>
          <w:rFonts w:ascii="Times New Roman" w:hAnsi="Times New Roman" w:eastAsia="黑体"/>
          <w:sz w:val="32"/>
          <w:szCs w:val="32"/>
        </w:rPr>
        <w:t>课题申报指南</w:t>
      </w:r>
    </w:p>
    <w:tbl>
      <w:tblPr>
        <w:tblStyle w:val="9"/>
        <w:tblW w:w="141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2067"/>
        <w:gridCol w:w="760"/>
        <w:gridCol w:w="2170"/>
        <w:gridCol w:w="7524"/>
        <w:gridCol w:w="867"/>
      </w:tblGrid>
      <w:tr w14:paraId="09A21F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720" w:type="dxa"/>
            <w:tcBorders>
              <w:tl2br w:val="nil"/>
              <w:tr2bl w:val="nil"/>
            </w:tcBorders>
            <w:shd w:val="clear" w:color="auto" w:fill="auto"/>
            <w:vAlign w:val="center"/>
          </w:tcPr>
          <w:p w14:paraId="66B15451">
            <w:pPr>
              <w:widowControl/>
              <w:adjustRightInd w:val="0"/>
              <w:snapToGrid w:val="0"/>
              <w:jc w:val="center"/>
              <w:textAlignment w:val="center"/>
              <w:rPr>
                <w:rFonts w:hint="eastAsia" w:asciiTheme="minorEastAsia" w:hAnsiTheme="minorEastAsia" w:cstheme="minorEastAsia"/>
                <w:b/>
                <w:bCs/>
                <w:color w:val="000000"/>
                <w:szCs w:val="21"/>
              </w:rPr>
            </w:pPr>
            <w:r>
              <w:rPr>
                <w:rFonts w:hint="eastAsia" w:asciiTheme="minorEastAsia" w:hAnsiTheme="minorEastAsia" w:cstheme="minorEastAsia"/>
                <w:b/>
                <w:bCs/>
                <w:color w:val="000000"/>
                <w:kern w:val="0"/>
                <w:szCs w:val="21"/>
                <w:lang w:bidi="ar"/>
              </w:rPr>
              <w:t>序号</w:t>
            </w:r>
          </w:p>
        </w:tc>
        <w:tc>
          <w:tcPr>
            <w:tcW w:w="2067" w:type="dxa"/>
            <w:tcBorders>
              <w:tl2br w:val="nil"/>
              <w:tr2bl w:val="nil"/>
            </w:tcBorders>
            <w:shd w:val="clear" w:color="auto" w:fill="auto"/>
            <w:vAlign w:val="center"/>
          </w:tcPr>
          <w:p w14:paraId="3BFC8696">
            <w:pPr>
              <w:widowControl/>
              <w:adjustRightInd w:val="0"/>
              <w:snapToGrid w:val="0"/>
              <w:jc w:val="center"/>
              <w:textAlignment w:val="center"/>
              <w:rPr>
                <w:rFonts w:hint="eastAsia" w:asciiTheme="minorEastAsia" w:hAnsiTheme="minorEastAsia" w:cstheme="minorEastAsia"/>
                <w:b/>
                <w:bCs/>
                <w:color w:val="000000"/>
                <w:szCs w:val="21"/>
              </w:rPr>
            </w:pPr>
            <w:r>
              <w:rPr>
                <w:rFonts w:hint="eastAsia" w:asciiTheme="minorEastAsia" w:hAnsiTheme="minorEastAsia" w:cstheme="minorEastAsia"/>
                <w:b/>
                <w:bCs/>
                <w:color w:val="000000"/>
                <w:kern w:val="0"/>
                <w:szCs w:val="21"/>
                <w:lang w:bidi="ar"/>
              </w:rPr>
              <w:t>选题名称</w:t>
            </w:r>
          </w:p>
        </w:tc>
        <w:tc>
          <w:tcPr>
            <w:tcW w:w="760" w:type="dxa"/>
            <w:tcBorders>
              <w:tl2br w:val="nil"/>
              <w:tr2bl w:val="nil"/>
            </w:tcBorders>
            <w:shd w:val="clear" w:color="auto" w:fill="auto"/>
            <w:vAlign w:val="center"/>
          </w:tcPr>
          <w:p w14:paraId="61C3F631">
            <w:pPr>
              <w:widowControl/>
              <w:adjustRightInd w:val="0"/>
              <w:snapToGrid w:val="0"/>
              <w:jc w:val="center"/>
              <w:textAlignment w:val="center"/>
              <w:rPr>
                <w:rFonts w:hint="eastAsia" w:asciiTheme="minorEastAsia" w:hAnsiTheme="minorEastAsia" w:cstheme="minorEastAsia"/>
                <w:b/>
                <w:bCs/>
                <w:color w:val="000000"/>
                <w:szCs w:val="21"/>
              </w:rPr>
            </w:pPr>
            <w:r>
              <w:rPr>
                <w:rFonts w:hint="eastAsia" w:asciiTheme="minorEastAsia" w:hAnsiTheme="minorEastAsia" w:cstheme="minorEastAsia"/>
                <w:b/>
                <w:bCs/>
                <w:color w:val="000000"/>
                <w:kern w:val="0"/>
                <w:szCs w:val="21"/>
                <w:lang w:bidi="ar"/>
              </w:rPr>
              <w:t>面向中学学科</w:t>
            </w:r>
          </w:p>
        </w:tc>
        <w:tc>
          <w:tcPr>
            <w:tcW w:w="2170" w:type="dxa"/>
            <w:tcBorders>
              <w:tl2br w:val="nil"/>
              <w:tr2bl w:val="nil"/>
            </w:tcBorders>
            <w:shd w:val="clear" w:color="auto" w:fill="auto"/>
            <w:vAlign w:val="center"/>
          </w:tcPr>
          <w:p w14:paraId="35C89D81">
            <w:pPr>
              <w:widowControl/>
              <w:adjustRightInd w:val="0"/>
              <w:snapToGrid w:val="0"/>
              <w:jc w:val="center"/>
              <w:textAlignment w:val="center"/>
              <w:rPr>
                <w:rFonts w:hint="eastAsia" w:asciiTheme="minorEastAsia" w:hAnsiTheme="minorEastAsia" w:cstheme="minorEastAsia"/>
                <w:b/>
                <w:bCs/>
                <w:color w:val="000000"/>
                <w:szCs w:val="21"/>
              </w:rPr>
            </w:pPr>
            <w:r>
              <w:rPr>
                <w:rFonts w:hint="eastAsia" w:asciiTheme="minorEastAsia" w:hAnsiTheme="minorEastAsia" w:cstheme="minorEastAsia"/>
                <w:b/>
                <w:bCs/>
                <w:color w:val="000000"/>
                <w:kern w:val="0"/>
                <w:szCs w:val="21"/>
                <w:lang w:bidi="ar"/>
              </w:rPr>
              <w:t>依托的在研课题或者拟申请的课题</w:t>
            </w:r>
          </w:p>
        </w:tc>
        <w:tc>
          <w:tcPr>
            <w:tcW w:w="7524" w:type="dxa"/>
            <w:tcBorders>
              <w:tl2br w:val="nil"/>
              <w:tr2bl w:val="nil"/>
            </w:tcBorders>
            <w:shd w:val="clear" w:color="auto" w:fill="auto"/>
            <w:vAlign w:val="center"/>
          </w:tcPr>
          <w:p w14:paraId="6C4F2053">
            <w:pPr>
              <w:widowControl/>
              <w:adjustRightInd w:val="0"/>
              <w:snapToGrid w:val="0"/>
              <w:jc w:val="center"/>
              <w:textAlignment w:val="center"/>
              <w:rPr>
                <w:rFonts w:hint="eastAsia" w:asciiTheme="minorEastAsia" w:hAnsiTheme="minorEastAsia" w:cstheme="minorEastAsia"/>
                <w:b/>
                <w:bCs/>
                <w:color w:val="000000"/>
                <w:szCs w:val="21"/>
              </w:rPr>
            </w:pPr>
            <w:r>
              <w:rPr>
                <w:rFonts w:hint="eastAsia" w:asciiTheme="minorEastAsia" w:hAnsiTheme="minorEastAsia" w:cstheme="minorEastAsia"/>
                <w:b/>
                <w:bCs/>
                <w:color w:val="000000"/>
                <w:kern w:val="0"/>
                <w:szCs w:val="21"/>
                <w:lang w:bidi="ar"/>
              </w:rPr>
              <w:t>简要论证</w:t>
            </w:r>
          </w:p>
        </w:tc>
        <w:tc>
          <w:tcPr>
            <w:tcW w:w="867" w:type="dxa"/>
            <w:tcBorders>
              <w:tl2br w:val="nil"/>
              <w:tr2bl w:val="nil"/>
            </w:tcBorders>
            <w:shd w:val="clear" w:color="auto" w:fill="auto"/>
            <w:vAlign w:val="center"/>
          </w:tcPr>
          <w:p w14:paraId="3297EE6A">
            <w:pPr>
              <w:widowControl/>
              <w:adjustRightInd w:val="0"/>
              <w:snapToGrid w:val="0"/>
              <w:jc w:val="center"/>
              <w:textAlignment w:val="center"/>
              <w:rPr>
                <w:rFonts w:hint="eastAsia" w:asciiTheme="minorEastAsia" w:hAnsiTheme="minorEastAsia" w:cstheme="minorEastAsia"/>
                <w:b/>
                <w:bCs/>
                <w:strike/>
                <w:color w:val="000000"/>
                <w:szCs w:val="21"/>
                <w:highlight w:val="red"/>
              </w:rPr>
            </w:pPr>
            <w:r>
              <w:rPr>
                <w:rFonts w:hint="eastAsia" w:asciiTheme="minorEastAsia" w:hAnsiTheme="minorEastAsia" w:cstheme="minorEastAsia"/>
                <w:b/>
                <w:bCs/>
                <w:color w:val="000000"/>
                <w:kern w:val="0"/>
                <w:szCs w:val="21"/>
                <w:lang w:bidi="ar"/>
              </w:rPr>
              <w:t>推荐人</w:t>
            </w:r>
          </w:p>
        </w:tc>
      </w:tr>
      <w:tr w14:paraId="3BD98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720" w:type="dxa"/>
            <w:tcBorders>
              <w:tl2br w:val="nil"/>
              <w:tr2bl w:val="nil"/>
            </w:tcBorders>
            <w:shd w:val="clear" w:color="auto" w:fill="auto"/>
            <w:vAlign w:val="center"/>
          </w:tcPr>
          <w:p w14:paraId="2B9DF298">
            <w:pPr>
              <w:adjustRightInd w:val="0"/>
              <w:snapToGrid w:val="0"/>
              <w:jc w:val="center"/>
              <w:rPr>
                <w:rFonts w:hint="eastAsia" w:asciiTheme="minorEastAsia" w:hAnsiTheme="minorEastAsia" w:cstheme="minorEastAsia"/>
                <w:szCs w:val="21"/>
              </w:rPr>
            </w:pPr>
            <w:r>
              <w:rPr>
                <w:rFonts w:hint="eastAsia" w:asciiTheme="minorEastAsia" w:hAnsiTheme="minorEastAsia" w:cstheme="minorEastAsia"/>
                <w:szCs w:val="21"/>
              </w:rPr>
              <w:t>1</w:t>
            </w:r>
          </w:p>
        </w:tc>
        <w:tc>
          <w:tcPr>
            <w:tcW w:w="2067" w:type="dxa"/>
            <w:tcBorders>
              <w:tl2br w:val="nil"/>
              <w:tr2bl w:val="nil"/>
            </w:tcBorders>
            <w:shd w:val="clear" w:color="auto" w:fill="auto"/>
            <w:vAlign w:val="center"/>
          </w:tcPr>
          <w:p w14:paraId="65708D4E">
            <w:pPr>
              <w:adjustRightInd w:val="0"/>
              <w:snapToGrid w:val="0"/>
              <w:jc w:val="center"/>
              <w:rPr>
                <w:rFonts w:hint="eastAsia" w:asciiTheme="minorEastAsia" w:hAnsiTheme="minorEastAsia" w:cstheme="minorEastAsia"/>
                <w:szCs w:val="21"/>
              </w:rPr>
            </w:pPr>
            <w:r>
              <w:rPr>
                <w:rFonts w:hint="eastAsia" w:asciiTheme="minorEastAsia" w:hAnsiTheme="minorEastAsia" w:cstheme="minorEastAsia"/>
                <w:szCs w:val="21"/>
              </w:rPr>
              <w:t>语文课程标准的教学转化机制研究</w:t>
            </w:r>
          </w:p>
        </w:tc>
        <w:tc>
          <w:tcPr>
            <w:tcW w:w="760" w:type="dxa"/>
            <w:tcBorders>
              <w:tl2br w:val="nil"/>
              <w:tr2bl w:val="nil"/>
            </w:tcBorders>
            <w:shd w:val="clear" w:color="auto" w:fill="auto"/>
            <w:vAlign w:val="center"/>
          </w:tcPr>
          <w:p w14:paraId="29E9CC3E">
            <w:pPr>
              <w:adjustRightInd w:val="0"/>
              <w:snapToGrid w:val="0"/>
              <w:jc w:val="center"/>
              <w:rPr>
                <w:rFonts w:hint="eastAsia" w:asciiTheme="minorEastAsia" w:hAnsiTheme="minorEastAsia" w:cstheme="minorEastAsia"/>
                <w:szCs w:val="21"/>
              </w:rPr>
            </w:pPr>
            <w:r>
              <w:rPr>
                <w:rFonts w:hint="eastAsia" w:asciiTheme="minorEastAsia" w:hAnsiTheme="minorEastAsia" w:cstheme="minorEastAsia"/>
                <w:szCs w:val="21"/>
              </w:rPr>
              <w:t>语文</w:t>
            </w:r>
          </w:p>
        </w:tc>
        <w:tc>
          <w:tcPr>
            <w:tcW w:w="2170" w:type="dxa"/>
            <w:tcBorders>
              <w:tl2br w:val="nil"/>
              <w:tr2bl w:val="nil"/>
            </w:tcBorders>
            <w:shd w:val="clear" w:color="auto" w:fill="auto"/>
            <w:vAlign w:val="center"/>
          </w:tcPr>
          <w:p w14:paraId="094D3760">
            <w:pPr>
              <w:adjustRightInd w:val="0"/>
              <w:snapToGrid w:val="0"/>
              <w:jc w:val="center"/>
              <w:rPr>
                <w:rFonts w:hint="eastAsia" w:asciiTheme="minorEastAsia" w:hAnsiTheme="minorEastAsia" w:cstheme="minorEastAsia"/>
                <w:szCs w:val="21"/>
              </w:rPr>
            </w:pPr>
            <w:r>
              <w:rPr>
                <w:rFonts w:hint="eastAsia" w:asciiTheme="minorEastAsia" w:hAnsiTheme="minorEastAsia" w:cstheme="minorEastAsia"/>
                <w:szCs w:val="21"/>
              </w:rPr>
              <w:t>落实基础教育课程标准实验研究</w:t>
            </w:r>
          </w:p>
        </w:tc>
        <w:tc>
          <w:tcPr>
            <w:tcW w:w="7524" w:type="dxa"/>
            <w:tcBorders>
              <w:tl2br w:val="nil"/>
              <w:tr2bl w:val="nil"/>
            </w:tcBorders>
            <w:shd w:val="clear" w:color="auto" w:fill="auto"/>
            <w:vAlign w:val="center"/>
          </w:tcPr>
          <w:p w14:paraId="725210F9">
            <w:pPr>
              <w:adjustRightInd w:val="0"/>
              <w:snapToGrid w:val="0"/>
              <w:rPr>
                <w:rFonts w:hint="eastAsia" w:asciiTheme="minorEastAsia" w:hAnsiTheme="minorEastAsia" w:cstheme="minorEastAsia"/>
                <w:color w:val="000000"/>
                <w:szCs w:val="21"/>
              </w:rPr>
            </w:pPr>
            <w:r>
              <w:rPr>
                <w:rFonts w:hint="eastAsia" w:asciiTheme="minorEastAsia" w:hAnsiTheme="minorEastAsia" w:cstheme="minorEastAsia"/>
                <w:szCs w:val="21"/>
              </w:rPr>
              <w:t>研究团队近两年基于典型语文教学课例，研讨如何落实课程标准关于语文学习任务群的教学要求，初步建构了语文学习任务群的教学设计模型。研究期间发表论文6篇，出版课例研讨专著2部，为本次选题研究奠定坚实基础。在前期研究中，我们发现一线语文教师对学习任务设计的“结构化”问题比较困惑，不能落实语文课程标准学习任务群要求的学习内容。本次研究将在前期研究的基础上，进一步细化语文教学典型课型，探究课程标准落地的转化机制，从理论层面和实践层面辨析教学转化机制的运作模式和操作路径，期待能够为一线语文教师落实课程改革理念提供实证参照。</w:t>
            </w:r>
          </w:p>
        </w:tc>
        <w:tc>
          <w:tcPr>
            <w:tcW w:w="867" w:type="dxa"/>
            <w:tcBorders>
              <w:tl2br w:val="nil"/>
              <w:tr2bl w:val="nil"/>
            </w:tcBorders>
            <w:shd w:val="clear" w:color="auto" w:fill="auto"/>
            <w:vAlign w:val="center"/>
          </w:tcPr>
          <w:p w14:paraId="51621C03">
            <w:pPr>
              <w:adjustRightInd w:val="0"/>
              <w:snapToGrid w:val="0"/>
              <w:jc w:val="center"/>
              <w:rPr>
                <w:rFonts w:hint="eastAsia" w:asciiTheme="minorEastAsia" w:hAnsiTheme="minorEastAsia" w:cstheme="minorEastAsia"/>
                <w:szCs w:val="21"/>
              </w:rPr>
            </w:pPr>
            <w:r>
              <w:rPr>
                <w:rFonts w:hint="eastAsia" w:asciiTheme="minorEastAsia" w:hAnsiTheme="minorEastAsia" w:cstheme="minorEastAsia"/>
                <w:color w:val="000000"/>
                <w:szCs w:val="21"/>
              </w:rPr>
              <w:t>徐鹏</w:t>
            </w:r>
          </w:p>
        </w:tc>
      </w:tr>
      <w:tr w14:paraId="52912F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720" w:type="dxa"/>
            <w:tcBorders>
              <w:tl2br w:val="nil"/>
              <w:tr2bl w:val="nil"/>
            </w:tcBorders>
            <w:shd w:val="clear" w:color="auto" w:fill="auto"/>
            <w:vAlign w:val="center"/>
          </w:tcPr>
          <w:p w14:paraId="24093138">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2</w:t>
            </w:r>
          </w:p>
        </w:tc>
        <w:tc>
          <w:tcPr>
            <w:tcW w:w="2067" w:type="dxa"/>
            <w:tcBorders>
              <w:tl2br w:val="nil"/>
              <w:tr2bl w:val="nil"/>
            </w:tcBorders>
            <w:shd w:val="clear" w:color="auto" w:fill="auto"/>
            <w:vAlign w:val="center"/>
          </w:tcPr>
          <w:p w14:paraId="0FB1E439">
            <w:pPr>
              <w:adjustRightInd w:val="0"/>
              <w:snapToGrid w:val="0"/>
              <w:jc w:val="center"/>
              <w:rPr>
                <w:rFonts w:hint="eastAsia" w:asciiTheme="minorEastAsia" w:hAnsiTheme="minorEastAsia" w:cstheme="minorEastAsia"/>
                <w:szCs w:val="21"/>
              </w:rPr>
            </w:pPr>
            <w:r>
              <w:rPr>
                <w:rFonts w:hint="eastAsia" w:asciiTheme="minorEastAsia" w:hAnsiTheme="minorEastAsia" w:cstheme="minorEastAsia"/>
                <w:szCs w:val="21"/>
              </w:rPr>
              <w:t>数智时代文言文教学范式创新及实践探索研究</w:t>
            </w:r>
          </w:p>
        </w:tc>
        <w:tc>
          <w:tcPr>
            <w:tcW w:w="760" w:type="dxa"/>
            <w:tcBorders>
              <w:tl2br w:val="nil"/>
              <w:tr2bl w:val="nil"/>
            </w:tcBorders>
            <w:shd w:val="clear" w:color="auto" w:fill="auto"/>
            <w:vAlign w:val="center"/>
          </w:tcPr>
          <w:p w14:paraId="368D1EFF">
            <w:pPr>
              <w:adjustRightInd w:val="0"/>
              <w:snapToGrid w:val="0"/>
              <w:jc w:val="center"/>
              <w:rPr>
                <w:rFonts w:hint="eastAsia" w:asciiTheme="minorEastAsia" w:hAnsiTheme="minorEastAsia" w:cstheme="minorEastAsia"/>
                <w:szCs w:val="21"/>
              </w:rPr>
            </w:pPr>
            <w:r>
              <w:rPr>
                <w:rFonts w:hint="eastAsia" w:asciiTheme="minorEastAsia" w:hAnsiTheme="minorEastAsia" w:cstheme="minorEastAsia"/>
                <w:szCs w:val="21"/>
              </w:rPr>
              <w:t>语文</w:t>
            </w:r>
          </w:p>
        </w:tc>
        <w:tc>
          <w:tcPr>
            <w:tcW w:w="2170" w:type="dxa"/>
            <w:tcBorders>
              <w:tl2br w:val="nil"/>
              <w:tr2bl w:val="nil"/>
            </w:tcBorders>
            <w:shd w:val="clear" w:color="auto" w:fill="auto"/>
            <w:vAlign w:val="center"/>
          </w:tcPr>
          <w:p w14:paraId="5EEAF0A1">
            <w:pPr>
              <w:adjustRightInd w:val="0"/>
              <w:snapToGrid w:val="0"/>
              <w:jc w:val="center"/>
              <w:rPr>
                <w:rFonts w:hint="eastAsia" w:asciiTheme="minorEastAsia" w:hAnsiTheme="minorEastAsia" w:cstheme="minorEastAsia"/>
                <w:szCs w:val="21"/>
              </w:rPr>
            </w:pPr>
            <w:r>
              <w:rPr>
                <w:rFonts w:hint="eastAsia" w:asciiTheme="minorEastAsia" w:hAnsiTheme="minorEastAsia" w:cstheme="minorEastAsia"/>
                <w:szCs w:val="21"/>
              </w:rPr>
              <w:t>数智时代传统文化经典阅读教学范式创新及实践探索研究</w:t>
            </w:r>
          </w:p>
        </w:tc>
        <w:tc>
          <w:tcPr>
            <w:tcW w:w="7524" w:type="dxa"/>
            <w:tcBorders>
              <w:tl2br w:val="nil"/>
              <w:tr2bl w:val="nil"/>
            </w:tcBorders>
            <w:shd w:val="clear" w:color="auto" w:fill="auto"/>
            <w:vAlign w:val="center"/>
          </w:tcPr>
          <w:p w14:paraId="761E4214">
            <w:pPr>
              <w:adjustRightInd w:val="0"/>
              <w:snapToGrid w:val="0"/>
              <w:rPr>
                <w:rFonts w:hint="eastAsia" w:asciiTheme="minorEastAsia" w:hAnsiTheme="minorEastAsia" w:cstheme="minorEastAsia"/>
                <w:szCs w:val="21"/>
              </w:rPr>
            </w:pPr>
            <w:r>
              <w:rPr>
                <w:rFonts w:hint="eastAsia" w:asciiTheme="minorEastAsia" w:hAnsiTheme="minorEastAsia" w:cstheme="minorEastAsia"/>
                <w:szCs w:val="21"/>
              </w:rPr>
              <w:t>习近平总书记高度重视数字技术对中华优秀传统文化保护和传承的重要作用。语文是落实中华优秀传统文化教育的核心学科，《义务教育语文课程标准（2022年版）》与《普通高中语文课程标准（2017年版2020年修订）》均倡导提高数智赋能水平，探索文言文教学新模式，文言文教学范式变革是培育核心素养的关键环节。而受技术异化影响，数智时代中小学文言文教学的浅层化问题较为突出，表现为重知识获得轻深度理解，重信息加工轻价值养成，技术依赖思维发展难，信息零碎文化视域窄。深度学习是一种整体教学设计范式，助力数智技术与文言文教学互嵌融合，让文言文“活起来”，让古人“会说话”，让文脉“传下去”，达致知识理解深、思维发展深、情感投入深、意义获得深等效果。因此，本课题拟借助深度学习理论推动数智时代文言文教学范式的革新，从而促进学生语文核心素养的发展。</w:t>
            </w:r>
          </w:p>
          <w:p w14:paraId="01D9E132">
            <w:pPr>
              <w:adjustRightInd w:val="0"/>
              <w:snapToGrid w:val="0"/>
              <w:rPr>
                <w:rFonts w:hint="eastAsia" w:asciiTheme="minorEastAsia" w:hAnsiTheme="minorEastAsia" w:cstheme="minorEastAsia"/>
                <w:szCs w:val="21"/>
              </w:rPr>
            </w:pPr>
            <w:r>
              <w:rPr>
                <w:rFonts w:hint="eastAsia" w:asciiTheme="minorEastAsia" w:hAnsiTheme="minorEastAsia" w:cstheme="minorEastAsia"/>
                <w:szCs w:val="21"/>
              </w:rPr>
              <w:t>破解问题：研究对象为“中小学文言文教学”，具体包括：</w:t>
            </w:r>
          </w:p>
          <w:p w14:paraId="1EA0EC3F">
            <w:pPr>
              <w:adjustRightInd w:val="0"/>
              <w:snapToGrid w:val="0"/>
              <w:rPr>
                <w:rFonts w:hint="eastAsia" w:asciiTheme="minorEastAsia" w:hAnsiTheme="minorEastAsia" w:cstheme="minorEastAsia"/>
                <w:szCs w:val="21"/>
              </w:rPr>
            </w:pPr>
            <w:r>
              <w:rPr>
                <w:rFonts w:hint="eastAsia" w:asciiTheme="minorEastAsia" w:hAnsiTheme="minorEastAsia" w:cstheme="minorEastAsia"/>
                <w:szCs w:val="21"/>
              </w:rPr>
              <w:t>1.数智时代中小学文言文教学现状是什么？</w:t>
            </w:r>
          </w:p>
          <w:p w14:paraId="1E93DF65">
            <w:pPr>
              <w:adjustRightInd w:val="0"/>
              <w:snapToGrid w:val="0"/>
              <w:rPr>
                <w:rFonts w:hint="eastAsia" w:asciiTheme="minorEastAsia" w:hAnsiTheme="minorEastAsia" w:cstheme="minorEastAsia"/>
                <w:szCs w:val="21"/>
              </w:rPr>
            </w:pPr>
            <w:r>
              <w:rPr>
                <w:rFonts w:hint="eastAsia" w:asciiTheme="minorEastAsia" w:hAnsiTheme="minorEastAsia" w:cstheme="minorEastAsia"/>
                <w:szCs w:val="21"/>
              </w:rPr>
              <w:t>2.数智时代如何建构促进深度学习的文言文教学范式？</w:t>
            </w:r>
          </w:p>
          <w:p w14:paraId="29EDDA25">
            <w:pPr>
              <w:adjustRightInd w:val="0"/>
              <w:snapToGrid w:val="0"/>
              <w:rPr>
                <w:rFonts w:hint="eastAsia" w:asciiTheme="minorEastAsia" w:hAnsiTheme="minorEastAsia" w:cstheme="minorEastAsia"/>
                <w:szCs w:val="21"/>
              </w:rPr>
            </w:pPr>
            <w:r>
              <w:rPr>
                <w:rFonts w:hint="eastAsia" w:asciiTheme="minorEastAsia" w:hAnsiTheme="minorEastAsia" w:cstheme="minorEastAsia"/>
                <w:szCs w:val="21"/>
              </w:rPr>
              <w:t>3.数智时代促进深度学习的文言文教学范式的实践效果如何？</w:t>
            </w:r>
          </w:p>
        </w:tc>
        <w:tc>
          <w:tcPr>
            <w:tcW w:w="867" w:type="dxa"/>
            <w:tcBorders>
              <w:tl2br w:val="nil"/>
              <w:tr2bl w:val="nil"/>
            </w:tcBorders>
            <w:shd w:val="clear" w:color="auto" w:fill="auto"/>
            <w:vAlign w:val="center"/>
          </w:tcPr>
          <w:p w14:paraId="24D6769D">
            <w:pPr>
              <w:adjustRightInd w:val="0"/>
              <w:snapToGrid w:val="0"/>
              <w:jc w:val="center"/>
              <w:rPr>
                <w:rFonts w:hint="eastAsia" w:asciiTheme="minorEastAsia" w:hAnsiTheme="minorEastAsia" w:cstheme="minorEastAsia"/>
                <w:szCs w:val="21"/>
              </w:rPr>
            </w:pPr>
            <w:r>
              <w:rPr>
                <w:rFonts w:hint="eastAsia" w:asciiTheme="minorEastAsia" w:hAnsiTheme="minorEastAsia" w:cstheme="minorEastAsia"/>
                <w:szCs w:val="21"/>
              </w:rPr>
              <w:t>刘倩</w:t>
            </w:r>
          </w:p>
        </w:tc>
      </w:tr>
      <w:tr w14:paraId="7A7548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720" w:type="dxa"/>
            <w:tcBorders>
              <w:tl2br w:val="nil"/>
              <w:tr2bl w:val="nil"/>
            </w:tcBorders>
            <w:shd w:val="clear" w:color="auto" w:fill="auto"/>
            <w:vAlign w:val="center"/>
          </w:tcPr>
          <w:p w14:paraId="26CD2414">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3</w:t>
            </w:r>
          </w:p>
        </w:tc>
        <w:tc>
          <w:tcPr>
            <w:tcW w:w="2067" w:type="dxa"/>
            <w:tcBorders>
              <w:tl2br w:val="nil"/>
              <w:tr2bl w:val="nil"/>
            </w:tcBorders>
            <w:shd w:val="clear" w:color="auto" w:fill="auto"/>
            <w:vAlign w:val="center"/>
          </w:tcPr>
          <w:p w14:paraId="26EDD79A">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szCs w:val="21"/>
              </w:rPr>
              <w:t>课程目标在教学内容提炼及教学方式优化中的落地研究</w:t>
            </w:r>
          </w:p>
        </w:tc>
        <w:tc>
          <w:tcPr>
            <w:tcW w:w="760" w:type="dxa"/>
            <w:tcBorders>
              <w:tl2br w:val="nil"/>
              <w:tr2bl w:val="nil"/>
            </w:tcBorders>
            <w:shd w:val="clear" w:color="auto" w:fill="auto"/>
            <w:vAlign w:val="center"/>
          </w:tcPr>
          <w:p w14:paraId="0D74FB9A">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szCs w:val="21"/>
              </w:rPr>
              <w:t>语文</w:t>
            </w:r>
          </w:p>
        </w:tc>
        <w:tc>
          <w:tcPr>
            <w:tcW w:w="2170" w:type="dxa"/>
            <w:tcBorders>
              <w:tl2br w:val="nil"/>
              <w:tr2bl w:val="nil"/>
            </w:tcBorders>
            <w:shd w:val="clear" w:color="auto" w:fill="auto"/>
            <w:vAlign w:val="center"/>
          </w:tcPr>
          <w:p w14:paraId="5BE4EF74">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szCs w:val="21"/>
              </w:rPr>
              <w:t>深度学习视域下传统文化经典阅读教学范式及其实践研究</w:t>
            </w:r>
          </w:p>
        </w:tc>
        <w:tc>
          <w:tcPr>
            <w:tcW w:w="7524" w:type="dxa"/>
            <w:tcBorders>
              <w:tl2br w:val="nil"/>
              <w:tr2bl w:val="nil"/>
            </w:tcBorders>
            <w:shd w:val="clear" w:color="auto" w:fill="auto"/>
            <w:vAlign w:val="center"/>
          </w:tcPr>
          <w:p w14:paraId="78C30AEE">
            <w:pPr>
              <w:adjustRightInd w:val="0"/>
              <w:snapToGrid w:val="0"/>
              <w:rPr>
                <w:rFonts w:hint="eastAsia" w:asciiTheme="minorEastAsia" w:hAnsiTheme="minorEastAsia" w:cstheme="minorEastAsia"/>
                <w:color w:val="000000"/>
                <w:szCs w:val="21"/>
              </w:rPr>
            </w:pPr>
            <w:r>
              <w:rPr>
                <w:rFonts w:hint="eastAsia" w:asciiTheme="minorEastAsia" w:hAnsiTheme="minorEastAsia" w:cstheme="minorEastAsia"/>
                <w:szCs w:val="21"/>
              </w:rPr>
              <w:t>课程目标的研制和课程新理念的提倡业已取得阶段性、标志性成果，教学实践领域新旧观念的更迭和实施层面的困惑相交织，亟待解决的问题很多。其中，教学内容的提炼和教学方式的优化问题尤为突出，成为课程标准落地和教材有效利用的关键，也是深层次课程改革的瓶颈。本研究旨在澄清和纠正教学中模糊甚至错误的认识，促进基础教育在课程标准的引领下有长足的发展。</w:t>
            </w:r>
          </w:p>
        </w:tc>
        <w:tc>
          <w:tcPr>
            <w:tcW w:w="867" w:type="dxa"/>
            <w:tcBorders>
              <w:tl2br w:val="nil"/>
              <w:tr2bl w:val="nil"/>
            </w:tcBorders>
            <w:shd w:val="clear" w:color="auto" w:fill="auto"/>
            <w:vAlign w:val="center"/>
          </w:tcPr>
          <w:p w14:paraId="6D874BD6">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szCs w:val="21"/>
              </w:rPr>
              <w:t>卢军良</w:t>
            </w:r>
          </w:p>
        </w:tc>
      </w:tr>
      <w:tr w14:paraId="40DD8B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720" w:type="dxa"/>
            <w:tcBorders>
              <w:tl2br w:val="nil"/>
              <w:tr2bl w:val="nil"/>
            </w:tcBorders>
            <w:shd w:val="clear" w:color="auto" w:fill="auto"/>
            <w:vAlign w:val="center"/>
          </w:tcPr>
          <w:p w14:paraId="0078B3A2">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4</w:t>
            </w:r>
          </w:p>
        </w:tc>
        <w:tc>
          <w:tcPr>
            <w:tcW w:w="2067" w:type="dxa"/>
            <w:tcBorders>
              <w:tl2br w:val="nil"/>
              <w:tr2bl w:val="nil"/>
            </w:tcBorders>
            <w:shd w:val="clear" w:color="auto" w:fill="auto"/>
            <w:vAlign w:val="center"/>
          </w:tcPr>
          <w:p w14:paraId="318FF8A3">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szCs w:val="21"/>
              </w:rPr>
              <w:t>深度学习视域下古诗词教学设计及其实践策略研究</w:t>
            </w:r>
          </w:p>
        </w:tc>
        <w:tc>
          <w:tcPr>
            <w:tcW w:w="760" w:type="dxa"/>
            <w:tcBorders>
              <w:tl2br w:val="nil"/>
              <w:tr2bl w:val="nil"/>
            </w:tcBorders>
            <w:shd w:val="clear" w:color="auto" w:fill="auto"/>
            <w:vAlign w:val="center"/>
          </w:tcPr>
          <w:p w14:paraId="7B425430">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szCs w:val="21"/>
              </w:rPr>
              <w:t>语文</w:t>
            </w:r>
          </w:p>
        </w:tc>
        <w:tc>
          <w:tcPr>
            <w:tcW w:w="2170" w:type="dxa"/>
            <w:tcBorders>
              <w:tl2br w:val="nil"/>
              <w:tr2bl w:val="nil"/>
            </w:tcBorders>
            <w:shd w:val="clear" w:color="auto" w:fill="auto"/>
            <w:vAlign w:val="center"/>
          </w:tcPr>
          <w:p w14:paraId="3AA4AC03">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szCs w:val="21"/>
              </w:rPr>
              <w:t>深度学习视域下传统文化经典阅读教学范式及其实践研究</w:t>
            </w:r>
          </w:p>
        </w:tc>
        <w:tc>
          <w:tcPr>
            <w:tcW w:w="7524" w:type="dxa"/>
            <w:tcBorders>
              <w:tl2br w:val="nil"/>
              <w:tr2bl w:val="nil"/>
            </w:tcBorders>
            <w:shd w:val="clear" w:color="auto" w:fill="auto"/>
            <w:vAlign w:val="center"/>
          </w:tcPr>
          <w:p w14:paraId="5A67C6FB">
            <w:pPr>
              <w:adjustRightInd w:val="0"/>
              <w:snapToGrid w:val="0"/>
              <w:rPr>
                <w:rFonts w:hint="eastAsia" w:asciiTheme="minorEastAsia" w:hAnsiTheme="minorEastAsia" w:cstheme="minorEastAsia"/>
                <w:szCs w:val="21"/>
              </w:rPr>
            </w:pPr>
            <w:r>
              <w:rPr>
                <w:rFonts w:hint="eastAsia" w:asciiTheme="minorEastAsia" w:hAnsiTheme="minorEastAsia" w:cstheme="minorEastAsia"/>
                <w:szCs w:val="21"/>
              </w:rPr>
              <w:t>2023年11月，国家语委印发《关于深入实施“典耀中华”主题读书行动的指导意见》，重视传承发展中华优秀传统文化。语文是落实传统文化教育的核心学科，《普通高中语文课程标准（2017年版2020年修订）》把“文化传承与理解”作为高中语文四大核心素养之一，《义务教育语文课程标准2022年版》将“文化自信”排在语文核心素养四要素的第一位。而受应试倾向影响，当前中小学古诗词教学浅层化问题较为突出，表现为学生理解能力低、学习兴趣不浓，思维发展难，传统文化积淀少。深度学习是一种以培养未来社会实践主人为目标的整体教学设计范式，深度学习具有知识理解深、思维发展深、意义获得深、情感投入深等特点。因此，本课题拟借助深度学习理论改善古诗词教学，从而促进学生语文核心素养的发展。</w:t>
            </w:r>
          </w:p>
          <w:p w14:paraId="5A49677E">
            <w:pPr>
              <w:adjustRightInd w:val="0"/>
              <w:snapToGrid w:val="0"/>
              <w:rPr>
                <w:rFonts w:hint="eastAsia" w:asciiTheme="minorEastAsia" w:hAnsiTheme="minorEastAsia" w:cstheme="minorEastAsia"/>
                <w:szCs w:val="21"/>
              </w:rPr>
            </w:pPr>
            <w:r>
              <w:rPr>
                <w:rFonts w:hint="eastAsia" w:asciiTheme="minorEastAsia" w:hAnsiTheme="minorEastAsia" w:cstheme="minorEastAsia"/>
                <w:szCs w:val="21"/>
              </w:rPr>
              <w:t>本研究围绕“深度学习视域下古诗词教学策略”的建构逻辑，主要探讨和回答如下四个基本问题。</w:t>
            </w:r>
          </w:p>
          <w:p w14:paraId="4D144495">
            <w:pPr>
              <w:adjustRightInd w:val="0"/>
              <w:snapToGrid w:val="0"/>
              <w:rPr>
                <w:rFonts w:hint="eastAsia" w:asciiTheme="minorEastAsia" w:hAnsiTheme="minorEastAsia" w:cstheme="minorEastAsia"/>
                <w:szCs w:val="21"/>
              </w:rPr>
            </w:pPr>
            <w:r>
              <w:rPr>
                <w:rFonts w:hint="eastAsia" w:asciiTheme="minorEastAsia" w:hAnsiTheme="minorEastAsia" w:cstheme="minorEastAsia"/>
                <w:szCs w:val="21"/>
              </w:rPr>
              <w:t>问题1：深度学习视域下古诗词教学范式的内涵及特征是什么？</w:t>
            </w:r>
          </w:p>
          <w:p w14:paraId="1D97F2FB">
            <w:pPr>
              <w:adjustRightInd w:val="0"/>
              <w:snapToGrid w:val="0"/>
              <w:rPr>
                <w:rFonts w:hint="eastAsia" w:asciiTheme="minorEastAsia" w:hAnsiTheme="minorEastAsia" w:cstheme="minorEastAsia"/>
                <w:szCs w:val="21"/>
              </w:rPr>
            </w:pPr>
            <w:r>
              <w:rPr>
                <w:rFonts w:hint="eastAsia" w:asciiTheme="minorEastAsia" w:hAnsiTheme="minorEastAsia" w:cstheme="minorEastAsia"/>
                <w:szCs w:val="21"/>
              </w:rPr>
              <w:t>问题2：当下中小学古诗词教学现状是什么？</w:t>
            </w:r>
          </w:p>
          <w:p w14:paraId="69513B68">
            <w:pPr>
              <w:adjustRightInd w:val="0"/>
              <w:snapToGrid w:val="0"/>
              <w:rPr>
                <w:rFonts w:hint="eastAsia" w:asciiTheme="minorEastAsia" w:hAnsiTheme="minorEastAsia" w:cstheme="minorEastAsia"/>
                <w:szCs w:val="21"/>
              </w:rPr>
            </w:pPr>
            <w:r>
              <w:rPr>
                <w:rFonts w:hint="eastAsia" w:asciiTheme="minorEastAsia" w:hAnsiTheme="minorEastAsia" w:cstheme="minorEastAsia"/>
                <w:szCs w:val="21"/>
              </w:rPr>
              <w:t>问题3：深度学习视域下古诗词教学策略是什么？</w:t>
            </w:r>
          </w:p>
          <w:p w14:paraId="6C60F5C5">
            <w:pPr>
              <w:adjustRightInd w:val="0"/>
              <w:snapToGrid w:val="0"/>
              <w:rPr>
                <w:rFonts w:hint="eastAsia" w:asciiTheme="minorEastAsia" w:hAnsiTheme="minorEastAsia" w:cstheme="minorEastAsia"/>
                <w:color w:val="000000"/>
                <w:szCs w:val="21"/>
              </w:rPr>
            </w:pPr>
            <w:r>
              <w:rPr>
                <w:rFonts w:hint="eastAsia" w:asciiTheme="minorEastAsia" w:hAnsiTheme="minorEastAsia" w:cstheme="minorEastAsia"/>
                <w:szCs w:val="21"/>
              </w:rPr>
              <w:t>问题4：深度学习视域下古诗词教学策略的实践效果如何？</w:t>
            </w:r>
          </w:p>
        </w:tc>
        <w:tc>
          <w:tcPr>
            <w:tcW w:w="867" w:type="dxa"/>
            <w:tcBorders>
              <w:tl2br w:val="nil"/>
              <w:tr2bl w:val="nil"/>
            </w:tcBorders>
            <w:shd w:val="clear" w:color="auto" w:fill="auto"/>
            <w:vAlign w:val="center"/>
          </w:tcPr>
          <w:p w14:paraId="5EC18378">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szCs w:val="21"/>
              </w:rPr>
              <w:t>宋祥</w:t>
            </w:r>
          </w:p>
        </w:tc>
      </w:tr>
      <w:tr w14:paraId="0E5256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720" w:type="dxa"/>
            <w:tcBorders>
              <w:tl2br w:val="nil"/>
              <w:tr2bl w:val="nil"/>
            </w:tcBorders>
            <w:shd w:val="clear" w:color="auto" w:fill="auto"/>
            <w:vAlign w:val="center"/>
          </w:tcPr>
          <w:p w14:paraId="0E2A7B3C">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5</w:t>
            </w:r>
          </w:p>
        </w:tc>
        <w:tc>
          <w:tcPr>
            <w:tcW w:w="2067" w:type="dxa"/>
            <w:tcBorders>
              <w:tl2br w:val="nil"/>
              <w:tr2bl w:val="nil"/>
            </w:tcBorders>
            <w:shd w:val="clear" w:color="auto" w:fill="auto"/>
            <w:vAlign w:val="center"/>
          </w:tcPr>
          <w:p w14:paraId="0EC6666C">
            <w:pPr>
              <w:adjustRightInd w:val="0"/>
              <w:snapToGrid w:val="0"/>
              <w:jc w:val="center"/>
              <w:rPr>
                <w:rFonts w:hint="eastAsia" w:asciiTheme="minorEastAsia" w:hAnsiTheme="minorEastAsia" w:cstheme="minorEastAsia"/>
                <w:szCs w:val="21"/>
              </w:rPr>
            </w:pPr>
            <w:r>
              <w:rPr>
                <w:rFonts w:hint="eastAsia" w:asciiTheme="minorEastAsia" w:hAnsiTheme="minorEastAsia" w:cstheme="minorEastAsia"/>
                <w:szCs w:val="21"/>
              </w:rPr>
              <w:t>中学数学教师课堂教学诊断能力与培养策略研究</w:t>
            </w:r>
          </w:p>
        </w:tc>
        <w:tc>
          <w:tcPr>
            <w:tcW w:w="760" w:type="dxa"/>
            <w:tcBorders>
              <w:tl2br w:val="nil"/>
              <w:tr2bl w:val="nil"/>
            </w:tcBorders>
            <w:shd w:val="clear" w:color="auto" w:fill="auto"/>
            <w:vAlign w:val="center"/>
          </w:tcPr>
          <w:p w14:paraId="6C53E47F">
            <w:pPr>
              <w:adjustRightInd w:val="0"/>
              <w:snapToGrid w:val="0"/>
              <w:jc w:val="center"/>
              <w:rPr>
                <w:rFonts w:hint="eastAsia" w:asciiTheme="minorEastAsia" w:hAnsiTheme="minorEastAsia" w:cstheme="minorEastAsia"/>
                <w:szCs w:val="21"/>
              </w:rPr>
            </w:pPr>
            <w:r>
              <w:rPr>
                <w:rFonts w:hint="eastAsia" w:asciiTheme="minorEastAsia" w:hAnsiTheme="minorEastAsia" w:cstheme="minorEastAsia"/>
                <w:szCs w:val="21"/>
              </w:rPr>
              <w:t>数学</w:t>
            </w:r>
          </w:p>
        </w:tc>
        <w:tc>
          <w:tcPr>
            <w:tcW w:w="2170" w:type="dxa"/>
            <w:tcBorders>
              <w:tl2br w:val="nil"/>
              <w:tr2bl w:val="nil"/>
            </w:tcBorders>
            <w:shd w:val="clear" w:color="auto" w:fill="auto"/>
            <w:vAlign w:val="center"/>
          </w:tcPr>
          <w:p w14:paraId="6971BCDE">
            <w:pPr>
              <w:adjustRightInd w:val="0"/>
              <w:snapToGrid w:val="0"/>
              <w:jc w:val="center"/>
              <w:rPr>
                <w:rFonts w:hint="eastAsia" w:asciiTheme="minorEastAsia" w:hAnsiTheme="minorEastAsia" w:cstheme="minorEastAsia"/>
                <w:szCs w:val="21"/>
              </w:rPr>
            </w:pPr>
            <w:r>
              <w:rPr>
                <w:rFonts w:hint="eastAsia" w:asciiTheme="minorEastAsia" w:hAnsiTheme="minorEastAsia" w:cstheme="minorEastAsia"/>
                <w:szCs w:val="21"/>
              </w:rPr>
              <w:t>无</w:t>
            </w:r>
          </w:p>
        </w:tc>
        <w:tc>
          <w:tcPr>
            <w:tcW w:w="7524" w:type="dxa"/>
            <w:tcBorders>
              <w:tl2br w:val="nil"/>
              <w:tr2bl w:val="nil"/>
            </w:tcBorders>
            <w:shd w:val="clear" w:color="auto" w:fill="auto"/>
            <w:vAlign w:val="center"/>
          </w:tcPr>
          <w:p w14:paraId="4B677DAB">
            <w:pPr>
              <w:adjustRightInd w:val="0"/>
              <w:snapToGrid w:val="0"/>
              <w:rPr>
                <w:rFonts w:hint="eastAsia" w:asciiTheme="minorEastAsia" w:hAnsiTheme="minorEastAsia" w:cstheme="minorEastAsia"/>
                <w:szCs w:val="21"/>
              </w:rPr>
            </w:pPr>
            <w:r>
              <w:rPr>
                <w:rFonts w:hint="eastAsia" w:asciiTheme="minorEastAsia" w:hAnsiTheme="minorEastAsia" w:cstheme="minorEastAsia"/>
                <w:szCs w:val="21"/>
              </w:rPr>
              <w:t>数学课堂教学诊断是教师对数学课堂教学实践中存在的问题进行的诊断分析，是促进中小学数学教师专业发展的有效途径。本研究前期已经梳理相关文献及其研究前沿，并初步研究了数学教师课堂诊断的结构要素，破解现实问题：（1）中学数学课堂教学诊断的基本逻辑、核心要素，构建中学数学教师课堂教学诊断能力评价框架；（2）调查分析中学数学教师课堂教学诊断能力；（3）中学数学教师课堂教学诊断能力的培养策略研究，为进一步推动中小学数学课堂教学诊断活动的实施，促进教师与学生在课堂教学中共同发展，真实有效地反映数学课堂动态，实现数学课堂教学智能诊断</w:t>
            </w:r>
            <w:r>
              <w:rPr>
                <w:rFonts w:hint="eastAsia" w:asciiTheme="minorEastAsia" w:hAnsiTheme="minorEastAsia" w:cstheme="minorEastAsia"/>
                <w:color w:val="000000"/>
                <w:szCs w:val="21"/>
              </w:rPr>
              <w:t>。</w:t>
            </w:r>
          </w:p>
        </w:tc>
        <w:tc>
          <w:tcPr>
            <w:tcW w:w="867" w:type="dxa"/>
            <w:tcBorders>
              <w:tl2br w:val="nil"/>
              <w:tr2bl w:val="nil"/>
            </w:tcBorders>
            <w:shd w:val="clear" w:color="auto" w:fill="auto"/>
            <w:vAlign w:val="center"/>
          </w:tcPr>
          <w:p w14:paraId="5C4CEDF9">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szCs w:val="21"/>
              </w:rPr>
              <w:t>秦德生</w:t>
            </w:r>
          </w:p>
        </w:tc>
      </w:tr>
      <w:tr w14:paraId="08C305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720" w:type="dxa"/>
            <w:tcBorders>
              <w:tl2br w:val="nil"/>
              <w:tr2bl w:val="nil"/>
            </w:tcBorders>
            <w:shd w:val="clear" w:color="auto" w:fill="auto"/>
            <w:vAlign w:val="center"/>
          </w:tcPr>
          <w:p w14:paraId="07BB2BF4">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6</w:t>
            </w:r>
          </w:p>
        </w:tc>
        <w:tc>
          <w:tcPr>
            <w:tcW w:w="2067" w:type="dxa"/>
            <w:tcBorders>
              <w:tl2br w:val="nil"/>
              <w:tr2bl w:val="nil"/>
            </w:tcBorders>
            <w:shd w:val="clear" w:color="auto" w:fill="auto"/>
            <w:vAlign w:val="center"/>
          </w:tcPr>
          <w:p w14:paraId="3291E836">
            <w:pPr>
              <w:adjustRightInd w:val="0"/>
              <w:snapToGrid w:val="0"/>
              <w:jc w:val="center"/>
              <w:rPr>
                <w:rFonts w:hint="eastAsia" w:asciiTheme="minorEastAsia" w:hAnsiTheme="minorEastAsia" w:cstheme="minorEastAsia"/>
                <w:szCs w:val="21"/>
              </w:rPr>
            </w:pPr>
            <w:r>
              <w:rPr>
                <w:rFonts w:hint="eastAsia" w:asciiTheme="minorEastAsia" w:hAnsiTheme="minorEastAsia" w:cstheme="minorEastAsia"/>
                <w:szCs w:val="21"/>
              </w:rPr>
              <w:t>“双减”政策背景下中小学生深度学习测评模型构建与应用研究</w:t>
            </w:r>
          </w:p>
        </w:tc>
        <w:tc>
          <w:tcPr>
            <w:tcW w:w="760" w:type="dxa"/>
            <w:tcBorders>
              <w:tl2br w:val="nil"/>
              <w:tr2bl w:val="nil"/>
            </w:tcBorders>
            <w:shd w:val="clear" w:color="auto" w:fill="auto"/>
            <w:vAlign w:val="center"/>
          </w:tcPr>
          <w:p w14:paraId="22863EC7">
            <w:pPr>
              <w:adjustRightInd w:val="0"/>
              <w:snapToGrid w:val="0"/>
              <w:jc w:val="center"/>
              <w:rPr>
                <w:rFonts w:hint="eastAsia" w:asciiTheme="minorEastAsia" w:hAnsiTheme="minorEastAsia" w:cstheme="minorEastAsia"/>
                <w:szCs w:val="21"/>
              </w:rPr>
            </w:pPr>
            <w:r>
              <w:rPr>
                <w:rFonts w:hint="eastAsia" w:asciiTheme="minorEastAsia" w:hAnsiTheme="minorEastAsia" w:cstheme="minorEastAsia"/>
                <w:szCs w:val="21"/>
              </w:rPr>
              <w:t>数学</w:t>
            </w:r>
          </w:p>
        </w:tc>
        <w:tc>
          <w:tcPr>
            <w:tcW w:w="2170" w:type="dxa"/>
            <w:tcBorders>
              <w:tl2br w:val="nil"/>
              <w:tr2bl w:val="nil"/>
            </w:tcBorders>
            <w:shd w:val="clear" w:color="auto" w:fill="auto"/>
            <w:vAlign w:val="center"/>
          </w:tcPr>
          <w:p w14:paraId="132325FF">
            <w:pPr>
              <w:adjustRightInd w:val="0"/>
              <w:snapToGrid w:val="0"/>
              <w:jc w:val="center"/>
              <w:rPr>
                <w:rFonts w:hint="eastAsia" w:asciiTheme="minorEastAsia" w:hAnsiTheme="minorEastAsia" w:cstheme="minorEastAsia"/>
                <w:szCs w:val="21"/>
              </w:rPr>
            </w:pPr>
            <w:r>
              <w:rPr>
                <w:rFonts w:hint="eastAsia" w:asciiTheme="minorEastAsia" w:hAnsiTheme="minorEastAsia" w:cstheme="minorEastAsia"/>
                <w:szCs w:val="21"/>
              </w:rPr>
              <w:t>“双减”政策背景下中小学生深度学习测评模型构建与应用研究</w:t>
            </w:r>
          </w:p>
        </w:tc>
        <w:tc>
          <w:tcPr>
            <w:tcW w:w="7524" w:type="dxa"/>
            <w:tcBorders>
              <w:tl2br w:val="nil"/>
              <w:tr2bl w:val="nil"/>
            </w:tcBorders>
            <w:shd w:val="clear" w:color="auto" w:fill="auto"/>
            <w:vAlign w:val="center"/>
          </w:tcPr>
          <w:p w14:paraId="467568F9">
            <w:pPr>
              <w:adjustRightInd w:val="0"/>
              <w:snapToGrid w:val="0"/>
              <w:rPr>
                <w:rFonts w:hint="eastAsia" w:asciiTheme="minorEastAsia" w:hAnsiTheme="minorEastAsia" w:cstheme="minorEastAsia"/>
                <w:szCs w:val="21"/>
              </w:rPr>
            </w:pPr>
            <w:r>
              <w:rPr>
                <w:rFonts w:hint="eastAsia" w:asciiTheme="minorEastAsia" w:hAnsiTheme="minorEastAsia" w:cstheme="minorEastAsia"/>
                <w:szCs w:val="21"/>
              </w:rPr>
              <w:t>早在1955年，教育部就已经意识到中小学生课业负担过重问题，2021年，《关于进一步减轻义务教育阶段学生作业负担和校外培训负担的意见》指出全面压减作业总量和时长，减轻学生过重作业负担。“双减”政策落地生根是一项复杂的系统工程，既需要聚焦课业负担的发生机制，又要关注校内教育教学的改革。要保证“双减”有效实施，就必须提高教师的教学质量和学生的学习质量，深度学习是提高学习质量的有效途径。本研究应用</w:t>
            </w:r>
            <w:r>
              <w:rPr>
                <w:rFonts w:hint="eastAsia" w:asciiTheme="minorEastAsia" w:hAnsiTheme="minorEastAsia" w:cstheme="minorEastAsia"/>
                <w:bCs/>
                <w:szCs w:val="21"/>
              </w:rPr>
              <w:t>STEAM教育理念，研究中小学生深度学习测评模型构建与应用。</w:t>
            </w:r>
          </w:p>
        </w:tc>
        <w:tc>
          <w:tcPr>
            <w:tcW w:w="867" w:type="dxa"/>
            <w:tcBorders>
              <w:tl2br w:val="nil"/>
              <w:tr2bl w:val="nil"/>
            </w:tcBorders>
            <w:shd w:val="clear" w:color="auto" w:fill="auto"/>
            <w:vAlign w:val="center"/>
          </w:tcPr>
          <w:p w14:paraId="21490149">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szCs w:val="21"/>
              </w:rPr>
              <w:t>郭民</w:t>
            </w:r>
          </w:p>
        </w:tc>
      </w:tr>
      <w:tr w14:paraId="625ACD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720" w:type="dxa"/>
            <w:tcBorders>
              <w:tl2br w:val="nil"/>
              <w:tr2bl w:val="nil"/>
            </w:tcBorders>
            <w:shd w:val="clear" w:color="auto" w:fill="auto"/>
            <w:vAlign w:val="center"/>
          </w:tcPr>
          <w:p w14:paraId="3CB3A0AE">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7</w:t>
            </w:r>
          </w:p>
        </w:tc>
        <w:tc>
          <w:tcPr>
            <w:tcW w:w="2067" w:type="dxa"/>
            <w:tcBorders>
              <w:tl2br w:val="nil"/>
              <w:tr2bl w:val="nil"/>
            </w:tcBorders>
            <w:shd w:val="clear" w:color="auto" w:fill="auto"/>
            <w:vAlign w:val="center"/>
          </w:tcPr>
          <w:p w14:paraId="5227FFA3">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新课改背景下的中学英语协同学习模式探索研究</w:t>
            </w:r>
          </w:p>
        </w:tc>
        <w:tc>
          <w:tcPr>
            <w:tcW w:w="760" w:type="dxa"/>
            <w:tcBorders>
              <w:tl2br w:val="nil"/>
              <w:tr2bl w:val="nil"/>
            </w:tcBorders>
            <w:shd w:val="clear" w:color="auto" w:fill="auto"/>
            <w:vAlign w:val="center"/>
          </w:tcPr>
          <w:p w14:paraId="6386F48B">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英语</w:t>
            </w:r>
          </w:p>
        </w:tc>
        <w:tc>
          <w:tcPr>
            <w:tcW w:w="2170" w:type="dxa"/>
            <w:tcBorders>
              <w:tl2br w:val="nil"/>
              <w:tr2bl w:val="nil"/>
            </w:tcBorders>
            <w:shd w:val="clear" w:color="auto" w:fill="auto"/>
            <w:vAlign w:val="center"/>
          </w:tcPr>
          <w:p w14:paraId="4B605AA7">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无</w:t>
            </w:r>
          </w:p>
        </w:tc>
        <w:tc>
          <w:tcPr>
            <w:tcW w:w="7524" w:type="dxa"/>
            <w:tcBorders>
              <w:tl2br w:val="nil"/>
              <w:tr2bl w:val="nil"/>
            </w:tcBorders>
            <w:shd w:val="clear" w:color="auto" w:fill="auto"/>
            <w:vAlign w:val="center"/>
          </w:tcPr>
          <w:p w14:paraId="4A82908F">
            <w:pPr>
              <w:adjustRightInd w:val="0"/>
              <w:snapToGrid w:val="0"/>
              <w:rPr>
                <w:rFonts w:hint="eastAsia" w:asciiTheme="minorEastAsia" w:hAnsiTheme="minorEastAsia" w:cstheme="minorEastAsia"/>
                <w:color w:val="000000"/>
                <w:szCs w:val="21"/>
              </w:rPr>
            </w:pPr>
            <w:r>
              <w:rPr>
                <w:rFonts w:hint="eastAsia" w:asciiTheme="minorEastAsia" w:hAnsiTheme="minorEastAsia" w:cstheme="minorEastAsia"/>
                <w:szCs w:val="21"/>
              </w:rPr>
              <w:t>新课改背景下的中学英语学习过程中最明显的特征就是要能充分发挥学生自主学习的能动性，能够让学生以互助合作探究的学习方式进行英语学习，提高学习效果。但现有的课堂尽管教师设计的活动比较丰富，学生的合作的活动多，但实际上真正有思想碰撞，关注学生高阶思维的互助合作探究的学习还是比较缺失的。已有的相关研究更多关注的是互助合作探究学习的重要性以及合作探究模式的构建，很少有把构建的探究模式在实践中去应用，并检验效果。本研究试图从合作模式的构建到实践的应用，再到成果的产出，做一系列的研究。</w:t>
            </w:r>
          </w:p>
        </w:tc>
        <w:tc>
          <w:tcPr>
            <w:tcW w:w="867" w:type="dxa"/>
            <w:tcBorders>
              <w:tl2br w:val="nil"/>
              <w:tr2bl w:val="nil"/>
            </w:tcBorders>
            <w:shd w:val="clear" w:color="auto" w:fill="auto"/>
            <w:vAlign w:val="center"/>
          </w:tcPr>
          <w:p w14:paraId="0DF09A44">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刘丽艳</w:t>
            </w:r>
          </w:p>
        </w:tc>
      </w:tr>
      <w:tr w14:paraId="1C721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720" w:type="dxa"/>
            <w:tcBorders>
              <w:tl2br w:val="nil"/>
              <w:tr2bl w:val="nil"/>
            </w:tcBorders>
            <w:shd w:val="clear" w:color="auto" w:fill="auto"/>
            <w:vAlign w:val="center"/>
          </w:tcPr>
          <w:p w14:paraId="509582DE">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8</w:t>
            </w:r>
          </w:p>
        </w:tc>
        <w:tc>
          <w:tcPr>
            <w:tcW w:w="2067" w:type="dxa"/>
            <w:tcBorders>
              <w:tl2br w:val="nil"/>
              <w:tr2bl w:val="nil"/>
            </w:tcBorders>
            <w:shd w:val="clear" w:color="auto" w:fill="auto"/>
            <w:vAlign w:val="center"/>
          </w:tcPr>
          <w:p w14:paraId="12CA593D">
            <w:pPr>
              <w:adjustRightInd w:val="0"/>
              <w:snapToGrid w:val="0"/>
              <w:jc w:val="center"/>
              <w:rPr>
                <w:rFonts w:hint="eastAsia" w:asciiTheme="minorEastAsia" w:hAnsiTheme="minorEastAsia" w:cstheme="minorEastAsia"/>
                <w:szCs w:val="21"/>
              </w:rPr>
            </w:pPr>
            <w:r>
              <w:rPr>
                <w:rFonts w:hint="eastAsia" w:asciiTheme="minorEastAsia" w:hAnsiTheme="minorEastAsia" w:cstheme="minorEastAsia"/>
                <w:color w:val="000000"/>
                <w:szCs w:val="21"/>
              </w:rPr>
              <w:t>数字化背景下青少年自我调节学习能力的提升研究</w:t>
            </w:r>
          </w:p>
        </w:tc>
        <w:tc>
          <w:tcPr>
            <w:tcW w:w="760" w:type="dxa"/>
            <w:tcBorders>
              <w:tl2br w:val="nil"/>
              <w:tr2bl w:val="nil"/>
            </w:tcBorders>
            <w:shd w:val="clear" w:color="auto" w:fill="auto"/>
            <w:vAlign w:val="center"/>
          </w:tcPr>
          <w:p w14:paraId="77CE43C9">
            <w:pPr>
              <w:adjustRightInd w:val="0"/>
              <w:snapToGrid w:val="0"/>
              <w:jc w:val="center"/>
              <w:rPr>
                <w:rFonts w:hint="eastAsia" w:asciiTheme="minorEastAsia" w:hAnsiTheme="minorEastAsia" w:cstheme="minorEastAsia"/>
                <w:szCs w:val="21"/>
              </w:rPr>
            </w:pPr>
            <w:r>
              <w:rPr>
                <w:rFonts w:hint="eastAsia" w:asciiTheme="minorEastAsia" w:hAnsiTheme="minorEastAsia" w:cstheme="minorEastAsia"/>
                <w:color w:val="000000"/>
                <w:szCs w:val="21"/>
              </w:rPr>
              <w:t>不限</w:t>
            </w:r>
          </w:p>
        </w:tc>
        <w:tc>
          <w:tcPr>
            <w:tcW w:w="2170" w:type="dxa"/>
            <w:tcBorders>
              <w:tl2br w:val="nil"/>
              <w:tr2bl w:val="nil"/>
            </w:tcBorders>
            <w:shd w:val="clear" w:color="auto" w:fill="auto"/>
            <w:vAlign w:val="center"/>
          </w:tcPr>
          <w:p w14:paraId="3F0B72ED">
            <w:pPr>
              <w:adjustRightInd w:val="0"/>
              <w:snapToGrid w:val="0"/>
              <w:jc w:val="center"/>
              <w:rPr>
                <w:rFonts w:hint="eastAsia" w:asciiTheme="minorEastAsia" w:hAnsiTheme="minorEastAsia" w:cstheme="minorEastAsia"/>
                <w:szCs w:val="21"/>
              </w:rPr>
            </w:pPr>
            <w:r>
              <w:rPr>
                <w:rFonts w:hint="eastAsia" w:asciiTheme="minorEastAsia" w:hAnsiTheme="minorEastAsia" w:cstheme="minorEastAsia"/>
                <w:color w:val="000000"/>
                <w:szCs w:val="21"/>
              </w:rPr>
              <w:t>无</w:t>
            </w:r>
          </w:p>
        </w:tc>
        <w:tc>
          <w:tcPr>
            <w:tcW w:w="7524" w:type="dxa"/>
            <w:tcBorders>
              <w:tl2br w:val="nil"/>
              <w:tr2bl w:val="nil"/>
            </w:tcBorders>
            <w:shd w:val="clear" w:color="auto" w:fill="auto"/>
            <w:vAlign w:val="center"/>
          </w:tcPr>
          <w:p w14:paraId="3544C025">
            <w:pPr>
              <w:adjustRightInd w:val="0"/>
              <w:snapToGrid w:val="0"/>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具备数字化学习能力是当代青少年必备的技能之一。然而，非面对面的在线学习要求学习者具备自我调节学习的能力，研究表明即使是大学生也可能因为信息迷航和缺乏自我调节学习能力而无法充分利用在线学习的优势。因此，对于正处于自我调节能力快速发展阶段的青少年来说，要想他们从在线学习中受益，为他们的自我调节学习提供支持和培训尤为重要。拟破解问题：</w:t>
            </w:r>
          </w:p>
          <w:p w14:paraId="298C2150">
            <w:pPr>
              <w:adjustRightInd w:val="0"/>
              <w:snapToGrid w:val="0"/>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1.“发展趋势和作用如何”？以中小学阶段青少年为研究对象，考察在线自我调节学习的发展趋势，并分析自我调节学习能力和过程序列对学习效果的影响。</w:t>
            </w:r>
          </w:p>
          <w:p w14:paraId="7FE6B3AE">
            <w:pPr>
              <w:adjustRightInd w:val="0"/>
              <w:snapToGrid w:val="0"/>
              <w:rPr>
                <w:rFonts w:hint="eastAsia" w:asciiTheme="minorEastAsia" w:hAnsiTheme="minorEastAsia" w:cstheme="minorEastAsia"/>
                <w:szCs w:val="21"/>
              </w:rPr>
            </w:pPr>
            <w:r>
              <w:rPr>
                <w:rFonts w:hint="eastAsia" w:asciiTheme="minorEastAsia" w:hAnsiTheme="minorEastAsia" w:cstheme="minorEastAsia"/>
                <w:szCs w:val="21"/>
              </w:rPr>
              <w:t>2.</w:t>
            </w:r>
            <w:r>
              <w:rPr>
                <w:rFonts w:hint="eastAsia" w:asciiTheme="minorEastAsia" w:hAnsiTheme="minorEastAsia" w:cstheme="minorEastAsia"/>
                <w:color w:val="000000"/>
                <w:szCs w:val="21"/>
              </w:rPr>
              <w:t>“如何促进”？分别设计适用于提升小学生和中学生在线自我调节学习能力的训练方案，并检验其效果。</w:t>
            </w:r>
          </w:p>
          <w:p w14:paraId="50880E33">
            <w:pPr>
              <w:adjustRightInd w:val="0"/>
              <w:snapToGrid w:val="0"/>
              <w:rPr>
                <w:rFonts w:hint="eastAsia" w:asciiTheme="minorEastAsia" w:hAnsiTheme="minorEastAsia" w:cstheme="minorEastAsia"/>
                <w:szCs w:val="21"/>
              </w:rPr>
            </w:pPr>
            <w:r>
              <w:rPr>
                <w:rFonts w:hint="eastAsia" w:asciiTheme="minorEastAsia" w:hAnsiTheme="minorEastAsia" w:cstheme="minorEastAsia"/>
                <w:szCs w:val="21"/>
              </w:rPr>
              <w:t>3.</w:t>
            </w:r>
            <w:r>
              <w:rPr>
                <w:rFonts w:hint="eastAsia" w:asciiTheme="minorEastAsia" w:hAnsiTheme="minorEastAsia" w:cstheme="minorEastAsia"/>
                <w:color w:val="000000"/>
                <w:szCs w:val="21"/>
              </w:rPr>
              <w:t>“如何进一步提升促进效果”？考察人工智能+在线自我调节学习的适应型干预方案的效果。</w:t>
            </w:r>
          </w:p>
        </w:tc>
        <w:tc>
          <w:tcPr>
            <w:tcW w:w="867" w:type="dxa"/>
            <w:tcBorders>
              <w:tl2br w:val="nil"/>
              <w:tr2bl w:val="nil"/>
            </w:tcBorders>
            <w:shd w:val="clear" w:color="auto" w:fill="auto"/>
            <w:vAlign w:val="center"/>
          </w:tcPr>
          <w:p w14:paraId="0E959B43">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王国霞</w:t>
            </w:r>
          </w:p>
        </w:tc>
      </w:tr>
      <w:tr w14:paraId="030D7C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720" w:type="dxa"/>
            <w:tcBorders>
              <w:tl2br w:val="nil"/>
              <w:tr2bl w:val="nil"/>
            </w:tcBorders>
            <w:shd w:val="clear" w:color="auto" w:fill="auto"/>
            <w:vAlign w:val="center"/>
          </w:tcPr>
          <w:p w14:paraId="613F7E9E">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9</w:t>
            </w:r>
          </w:p>
        </w:tc>
        <w:tc>
          <w:tcPr>
            <w:tcW w:w="2067" w:type="dxa"/>
            <w:tcBorders>
              <w:tl2br w:val="nil"/>
              <w:tr2bl w:val="nil"/>
            </w:tcBorders>
            <w:shd w:val="clear" w:color="auto" w:fill="auto"/>
            <w:vAlign w:val="center"/>
          </w:tcPr>
          <w:p w14:paraId="5BE96417">
            <w:pPr>
              <w:adjustRightInd w:val="0"/>
              <w:snapToGrid w:val="0"/>
              <w:jc w:val="center"/>
              <w:rPr>
                <w:rFonts w:hint="eastAsia" w:asciiTheme="minorEastAsia" w:hAnsiTheme="minorEastAsia" w:cstheme="minorEastAsia"/>
                <w:szCs w:val="21"/>
              </w:rPr>
            </w:pPr>
            <w:r>
              <w:rPr>
                <w:rFonts w:hint="eastAsia" w:asciiTheme="minorEastAsia" w:hAnsiTheme="minorEastAsia" w:cstheme="minorEastAsia"/>
                <w:color w:val="000000"/>
                <w:szCs w:val="21"/>
              </w:rPr>
              <w:t>物理教学中“铸牢中华民族共同体意识”培育的个案研究</w:t>
            </w:r>
          </w:p>
        </w:tc>
        <w:tc>
          <w:tcPr>
            <w:tcW w:w="760" w:type="dxa"/>
            <w:tcBorders>
              <w:tl2br w:val="nil"/>
              <w:tr2bl w:val="nil"/>
            </w:tcBorders>
            <w:shd w:val="clear" w:color="auto" w:fill="auto"/>
            <w:vAlign w:val="center"/>
          </w:tcPr>
          <w:p w14:paraId="23B1A764">
            <w:pPr>
              <w:adjustRightInd w:val="0"/>
              <w:snapToGrid w:val="0"/>
              <w:jc w:val="center"/>
              <w:rPr>
                <w:rFonts w:hint="eastAsia" w:asciiTheme="minorEastAsia" w:hAnsiTheme="minorEastAsia" w:cstheme="minorEastAsia"/>
                <w:szCs w:val="21"/>
              </w:rPr>
            </w:pPr>
            <w:r>
              <w:rPr>
                <w:rFonts w:hint="eastAsia" w:asciiTheme="minorEastAsia" w:hAnsiTheme="minorEastAsia" w:cstheme="minorEastAsia"/>
                <w:color w:val="000000"/>
                <w:szCs w:val="21"/>
              </w:rPr>
              <w:t>物理</w:t>
            </w:r>
          </w:p>
        </w:tc>
        <w:tc>
          <w:tcPr>
            <w:tcW w:w="2170" w:type="dxa"/>
            <w:tcBorders>
              <w:tl2br w:val="nil"/>
              <w:tr2bl w:val="nil"/>
            </w:tcBorders>
            <w:shd w:val="clear" w:color="auto" w:fill="auto"/>
            <w:vAlign w:val="center"/>
          </w:tcPr>
          <w:p w14:paraId="716F636B">
            <w:pPr>
              <w:adjustRightInd w:val="0"/>
              <w:snapToGrid w:val="0"/>
              <w:jc w:val="center"/>
              <w:rPr>
                <w:rFonts w:hint="eastAsia" w:asciiTheme="minorEastAsia" w:hAnsiTheme="minorEastAsia" w:cstheme="minorEastAsia"/>
                <w:szCs w:val="21"/>
              </w:rPr>
            </w:pPr>
            <w:r>
              <w:rPr>
                <w:rFonts w:hint="eastAsia" w:asciiTheme="minorEastAsia" w:hAnsiTheme="minorEastAsia" w:cstheme="minorEastAsia"/>
                <w:color w:val="000000"/>
                <w:szCs w:val="21"/>
              </w:rPr>
              <w:t>吉林省边疆地区铸牢中华民族共同体意识现状调查研究</w:t>
            </w:r>
          </w:p>
        </w:tc>
        <w:tc>
          <w:tcPr>
            <w:tcW w:w="7524" w:type="dxa"/>
            <w:tcBorders>
              <w:tl2br w:val="nil"/>
              <w:tr2bl w:val="nil"/>
            </w:tcBorders>
            <w:shd w:val="clear" w:color="auto" w:fill="auto"/>
            <w:vAlign w:val="center"/>
          </w:tcPr>
          <w:p w14:paraId="5945F3A2">
            <w:pPr>
              <w:adjustRightInd w:val="0"/>
              <w:snapToGrid w:val="0"/>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主持人承担并完成相关国家级、省部级课题20余项。出版学术专著5部，在《求是》《教育研究》《人民日报》《光明日报》等重要学术期刊和重要报纸发表论文185篇，为本项目开展奠定了坚实的基础。</w:t>
            </w:r>
          </w:p>
          <w:p w14:paraId="6BA0801D">
            <w:pPr>
              <w:adjustRightInd w:val="0"/>
              <w:snapToGrid w:val="0"/>
              <w:rPr>
                <w:rFonts w:hint="eastAsia" w:asciiTheme="minorEastAsia" w:hAnsiTheme="minorEastAsia" w:cstheme="minorEastAsia"/>
                <w:szCs w:val="21"/>
              </w:rPr>
            </w:pPr>
            <w:r>
              <w:rPr>
                <w:rFonts w:hint="eastAsia" w:asciiTheme="minorEastAsia" w:hAnsiTheme="minorEastAsia" w:cstheme="minorEastAsia"/>
                <w:color w:val="000000"/>
                <w:szCs w:val="21"/>
              </w:rPr>
              <w:t>拟破解问题：初高中物理教学中铸牢中华民族共同体意识教育的价值细化、基本现状、主要瓶颈和突破策略。</w:t>
            </w:r>
          </w:p>
        </w:tc>
        <w:tc>
          <w:tcPr>
            <w:tcW w:w="867" w:type="dxa"/>
            <w:tcBorders>
              <w:tl2br w:val="nil"/>
              <w:tr2bl w:val="nil"/>
            </w:tcBorders>
            <w:shd w:val="clear" w:color="auto" w:fill="auto"/>
            <w:vAlign w:val="center"/>
          </w:tcPr>
          <w:p w14:paraId="075FD8D1">
            <w:pPr>
              <w:adjustRightInd w:val="0"/>
              <w:snapToGrid w:val="0"/>
              <w:jc w:val="center"/>
              <w:rPr>
                <w:rFonts w:hint="eastAsia" w:asciiTheme="minorEastAsia" w:hAnsiTheme="minorEastAsia" w:cstheme="minorEastAsia"/>
                <w:szCs w:val="21"/>
              </w:rPr>
            </w:pPr>
            <w:r>
              <w:rPr>
                <w:rFonts w:hint="eastAsia" w:asciiTheme="minorEastAsia" w:hAnsiTheme="minorEastAsia" w:cstheme="minorEastAsia"/>
                <w:color w:val="000000"/>
                <w:szCs w:val="21"/>
              </w:rPr>
              <w:t>于海波</w:t>
            </w:r>
          </w:p>
        </w:tc>
      </w:tr>
      <w:tr w14:paraId="3825B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720" w:type="dxa"/>
            <w:tcBorders>
              <w:tl2br w:val="nil"/>
              <w:tr2bl w:val="nil"/>
            </w:tcBorders>
            <w:shd w:val="clear" w:color="auto" w:fill="auto"/>
            <w:vAlign w:val="center"/>
          </w:tcPr>
          <w:p w14:paraId="3762AC29">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10</w:t>
            </w:r>
          </w:p>
        </w:tc>
        <w:tc>
          <w:tcPr>
            <w:tcW w:w="2067" w:type="dxa"/>
            <w:tcBorders>
              <w:tl2br w:val="nil"/>
              <w:tr2bl w:val="nil"/>
            </w:tcBorders>
            <w:shd w:val="clear" w:color="auto" w:fill="auto"/>
            <w:vAlign w:val="center"/>
          </w:tcPr>
          <w:p w14:paraId="5F736F7F">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物理教学中培养学生科技伦理素养的策略与典型经验研究</w:t>
            </w:r>
          </w:p>
        </w:tc>
        <w:tc>
          <w:tcPr>
            <w:tcW w:w="760" w:type="dxa"/>
            <w:tcBorders>
              <w:tl2br w:val="nil"/>
              <w:tr2bl w:val="nil"/>
            </w:tcBorders>
            <w:shd w:val="clear" w:color="auto" w:fill="auto"/>
            <w:vAlign w:val="center"/>
          </w:tcPr>
          <w:p w14:paraId="6A893A5E">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物理</w:t>
            </w:r>
          </w:p>
        </w:tc>
        <w:tc>
          <w:tcPr>
            <w:tcW w:w="2170" w:type="dxa"/>
            <w:tcBorders>
              <w:tl2br w:val="nil"/>
              <w:tr2bl w:val="nil"/>
            </w:tcBorders>
            <w:shd w:val="clear" w:color="auto" w:fill="auto"/>
            <w:vAlign w:val="center"/>
          </w:tcPr>
          <w:p w14:paraId="2D91232F">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无</w:t>
            </w:r>
          </w:p>
        </w:tc>
        <w:tc>
          <w:tcPr>
            <w:tcW w:w="7524" w:type="dxa"/>
            <w:tcBorders>
              <w:tl2br w:val="nil"/>
              <w:tr2bl w:val="nil"/>
            </w:tcBorders>
            <w:shd w:val="clear" w:color="auto" w:fill="auto"/>
            <w:vAlign w:val="center"/>
          </w:tcPr>
          <w:p w14:paraId="33FF7F4B">
            <w:pPr>
              <w:adjustRightInd w:val="0"/>
              <w:snapToGrid w:val="0"/>
              <w:rPr>
                <w:rFonts w:hint="eastAsia" w:asciiTheme="minorEastAsia" w:hAnsiTheme="minorEastAsia" w:cstheme="minorEastAsia"/>
                <w:color w:val="000000"/>
                <w:szCs w:val="21"/>
                <w:highlight w:val="yellow"/>
              </w:rPr>
            </w:pPr>
            <w:r>
              <w:rPr>
                <w:rFonts w:hint="eastAsia" w:asciiTheme="minorEastAsia" w:hAnsiTheme="minorEastAsia" w:cstheme="minorEastAsia"/>
                <w:szCs w:val="21"/>
                <w:highlight w:val="none"/>
              </w:rPr>
              <w:t>2022年3月，中共中央办公厅、国务院办公厅专门印发了《关于加强科技伦理治理的意见》，在科技伦理治理的原则、机制体制、实施保障等方面提出了明确要求。美国很多理工科大学较为推崇跨课程伦理教育模式。这一模式将伦理教育“嵌入”专业课程教育过程中，从而使学生的伦理意识能够紧密结合专业课程教育。英国直接通过课堂教学进行科技伦理教育，并结合案例分析和实际应用提升教育教学效果。德国注重问题导向，借助“问题”来形成围绕科技伦理的完整教学。日本通过调查对技术伦理理论和教育教学实践存在的问题进行了分析，制定了高校开展技术伦理教学的实施方法。</w:t>
            </w:r>
          </w:p>
        </w:tc>
        <w:tc>
          <w:tcPr>
            <w:tcW w:w="867" w:type="dxa"/>
            <w:tcBorders>
              <w:tl2br w:val="nil"/>
              <w:tr2bl w:val="nil"/>
            </w:tcBorders>
            <w:shd w:val="clear" w:color="auto" w:fill="auto"/>
            <w:vAlign w:val="center"/>
          </w:tcPr>
          <w:p w14:paraId="6BC32314">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于冰</w:t>
            </w:r>
          </w:p>
        </w:tc>
      </w:tr>
      <w:tr w14:paraId="2BAF63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720" w:type="dxa"/>
            <w:tcBorders>
              <w:tl2br w:val="nil"/>
              <w:tr2bl w:val="nil"/>
            </w:tcBorders>
            <w:shd w:val="clear" w:color="auto" w:fill="auto"/>
            <w:vAlign w:val="center"/>
          </w:tcPr>
          <w:p w14:paraId="19F869CB">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11</w:t>
            </w:r>
          </w:p>
        </w:tc>
        <w:tc>
          <w:tcPr>
            <w:tcW w:w="2067" w:type="dxa"/>
            <w:tcBorders>
              <w:tl2br w:val="nil"/>
              <w:tr2bl w:val="nil"/>
            </w:tcBorders>
            <w:shd w:val="clear" w:color="auto" w:fill="auto"/>
            <w:vAlign w:val="center"/>
          </w:tcPr>
          <w:p w14:paraId="69FF3FA6">
            <w:pPr>
              <w:adjustRightInd w:val="0"/>
              <w:snapToGrid w:val="0"/>
              <w:jc w:val="center"/>
              <w:rPr>
                <w:rFonts w:hint="eastAsia" w:asciiTheme="minorEastAsia" w:hAnsiTheme="minorEastAsia" w:cstheme="minorEastAsia"/>
                <w:szCs w:val="21"/>
              </w:rPr>
            </w:pPr>
            <w:r>
              <w:rPr>
                <w:rFonts w:hint="eastAsia" w:asciiTheme="minorEastAsia" w:hAnsiTheme="minorEastAsia" w:cstheme="minorEastAsia"/>
                <w:bCs/>
                <w:color w:val="000000" w:themeColor="text1"/>
                <w:szCs w:val="21"/>
                <w:lang w:bidi="ar"/>
                <w14:textFill>
                  <w14:solidFill>
                    <w14:schemeClr w14:val="tx1"/>
                  </w14:solidFill>
                </w14:textFill>
              </w:rPr>
              <w:t>指向“物理核心素养培养”的跨学科实践教学案例研究</w:t>
            </w:r>
          </w:p>
        </w:tc>
        <w:tc>
          <w:tcPr>
            <w:tcW w:w="760" w:type="dxa"/>
            <w:tcBorders>
              <w:tl2br w:val="nil"/>
              <w:tr2bl w:val="nil"/>
            </w:tcBorders>
            <w:shd w:val="clear" w:color="auto" w:fill="auto"/>
            <w:vAlign w:val="center"/>
          </w:tcPr>
          <w:p w14:paraId="0039B846">
            <w:pPr>
              <w:adjustRightInd w:val="0"/>
              <w:snapToGrid w:val="0"/>
              <w:jc w:val="center"/>
              <w:rPr>
                <w:rFonts w:hint="eastAsia" w:asciiTheme="minorEastAsia" w:hAnsiTheme="minorEastAsia" w:cstheme="minorEastAsia"/>
                <w:szCs w:val="21"/>
              </w:rPr>
            </w:pPr>
            <w:r>
              <w:rPr>
                <w:rFonts w:hint="eastAsia" w:asciiTheme="minorEastAsia" w:hAnsiTheme="minorEastAsia" w:cstheme="minorEastAsia"/>
                <w:color w:val="000000"/>
                <w:szCs w:val="21"/>
              </w:rPr>
              <w:t>物理</w:t>
            </w:r>
          </w:p>
        </w:tc>
        <w:tc>
          <w:tcPr>
            <w:tcW w:w="2170" w:type="dxa"/>
            <w:tcBorders>
              <w:tl2br w:val="nil"/>
              <w:tr2bl w:val="nil"/>
            </w:tcBorders>
            <w:shd w:val="clear" w:color="auto" w:fill="auto"/>
            <w:vAlign w:val="center"/>
          </w:tcPr>
          <w:p w14:paraId="415EF74C">
            <w:pPr>
              <w:adjustRightInd w:val="0"/>
              <w:snapToGrid w:val="0"/>
              <w:jc w:val="center"/>
              <w:rPr>
                <w:rFonts w:hint="eastAsia" w:asciiTheme="minorEastAsia" w:hAnsiTheme="minorEastAsia" w:cstheme="minorEastAsia"/>
                <w:szCs w:val="21"/>
              </w:rPr>
            </w:pPr>
            <w:r>
              <w:rPr>
                <w:rFonts w:hint="eastAsia" w:asciiTheme="minorEastAsia" w:hAnsiTheme="minorEastAsia" w:cstheme="minorEastAsia"/>
                <w:color w:val="000000"/>
                <w:szCs w:val="21"/>
              </w:rPr>
              <w:t>“指向物理核心素养培养”的科普活动建设</w:t>
            </w:r>
          </w:p>
        </w:tc>
        <w:tc>
          <w:tcPr>
            <w:tcW w:w="7524" w:type="dxa"/>
            <w:tcBorders>
              <w:tl2br w:val="nil"/>
              <w:tr2bl w:val="nil"/>
            </w:tcBorders>
            <w:shd w:val="clear" w:color="auto" w:fill="auto"/>
            <w:vAlign w:val="center"/>
          </w:tcPr>
          <w:p w14:paraId="7341FC58">
            <w:pPr>
              <w:widowControl/>
              <w:adjustRightInd w:val="0"/>
              <w:snapToGrid w:val="0"/>
              <w:rPr>
                <w:rFonts w:hint="eastAsia"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主持吉林省高等教育教学改革研究课题、高等学校教学研究项目等多项课题。近几年来，在Physical Review Physics Education Research 、Applied Physics B、《物理实验》《物理与工程》《物理教师》等SSCI、SCI学术期刊发表多篇论文。获吉林省教学成果奖等多项奖励。</w:t>
            </w:r>
          </w:p>
          <w:p w14:paraId="457AAD1C">
            <w:pPr>
              <w:adjustRightInd w:val="0"/>
              <w:snapToGrid w:val="0"/>
              <w:rPr>
                <w:rFonts w:hint="eastAsia" w:asciiTheme="minorEastAsia" w:hAnsiTheme="minorEastAsia" w:cstheme="minorEastAsia"/>
                <w:szCs w:val="21"/>
              </w:rPr>
            </w:pPr>
            <w:r>
              <w:rPr>
                <w:rFonts w:hint="eastAsia" w:asciiTheme="minorEastAsia" w:hAnsiTheme="minorEastAsia" w:cstheme="minorEastAsia"/>
                <w:color w:val="000000"/>
                <w:kern w:val="0"/>
                <w:szCs w:val="21"/>
                <w:lang w:bidi="ar"/>
              </w:rPr>
              <w:t>拟破解问题：基于物理学科的</w:t>
            </w:r>
            <w:r>
              <w:rPr>
                <w:rFonts w:hint="eastAsia" w:asciiTheme="minorEastAsia" w:hAnsiTheme="minorEastAsia" w:cstheme="minorEastAsia"/>
                <w:bCs/>
                <w:color w:val="000000"/>
                <w:szCs w:val="21"/>
                <w:lang w:bidi="ar"/>
              </w:rPr>
              <w:t>跨学科实践教学案例设计与实施。</w:t>
            </w:r>
          </w:p>
        </w:tc>
        <w:tc>
          <w:tcPr>
            <w:tcW w:w="867" w:type="dxa"/>
            <w:tcBorders>
              <w:tl2br w:val="nil"/>
              <w:tr2bl w:val="nil"/>
            </w:tcBorders>
            <w:shd w:val="clear" w:color="auto" w:fill="auto"/>
            <w:vAlign w:val="center"/>
          </w:tcPr>
          <w:p w14:paraId="0E4FEFCE">
            <w:pPr>
              <w:adjustRightInd w:val="0"/>
              <w:snapToGrid w:val="0"/>
              <w:jc w:val="center"/>
              <w:rPr>
                <w:rFonts w:hint="eastAsia" w:asciiTheme="minorEastAsia" w:hAnsiTheme="minorEastAsia" w:cstheme="minorEastAsia"/>
                <w:szCs w:val="21"/>
              </w:rPr>
            </w:pPr>
            <w:r>
              <w:rPr>
                <w:rFonts w:hint="eastAsia" w:asciiTheme="minorEastAsia" w:hAnsiTheme="minorEastAsia" w:cstheme="minorEastAsia"/>
                <w:color w:val="000000"/>
                <w:szCs w:val="21"/>
              </w:rPr>
              <w:t>戴瑞</w:t>
            </w:r>
          </w:p>
        </w:tc>
      </w:tr>
      <w:tr w14:paraId="7B54C4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720" w:type="dxa"/>
            <w:tcBorders>
              <w:tl2br w:val="nil"/>
              <w:tr2bl w:val="nil"/>
            </w:tcBorders>
            <w:shd w:val="clear" w:color="auto" w:fill="auto"/>
            <w:vAlign w:val="center"/>
          </w:tcPr>
          <w:p w14:paraId="027B237D">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12</w:t>
            </w:r>
          </w:p>
        </w:tc>
        <w:tc>
          <w:tcPr>
            <w:tcW w:w="2067" w:type="dxa"/>
            <w:tcBorders>
              <w:tl2br w:val="nil"/>
              <w:tr2bl w:val="nil"/>
            </w:tcBorders>
            <w:shd w:val="clear" w:color="auto" w:fill="auto"/>
            <w:vAlign w:val="center"/>
          </w:tcPr>
          <w:p w14:paraId="490D29DB">
            <w:pPr>
              <w:adjustRightInd w:val="0"/>
              <w:snapToGrid w:val="0"/>
              <w:jc w:val="center"/>
              <w:rPr>
                <w:rFonts w:hint="eastAsia" w:asciiTheme="minorEastAsia" w:hAnsiTheme="minorEastAsia" w:cstheme="minorEastAsia"/>
                <w:szCs w:val="21"/>
              </w:rPr>
            </w:pPr>
            <w:r>
              <w:rPr>
                <w:rFonts w:hint="eastAsia" w:asciiTheme="minorEastAsia" w:hAnsiTheme="minorEastAsia" w:cstheme="minorEastAsia"/>
                <w:color w:val="000000"/>
                <w:szCs w:val="21"/>
              </w:rPr>
              <w:t>基于大概念的中学化学单元教学实践研究</w:t>
            </w:r>
          </w:p>
        </w:tc>
        <w:tc>
          <w:tcPr>
            <w:tcW w:w="760" w:type="dxa"/>
            <w:tcBorders>
              <w:tl2br w:val="nil"/>
              <w:tr2bl w:val="nil"/>
            </w:tcBorders>
            <w:shd w:val="clear" w:color="auto" w:fill="auto"/>
            <w:vAlign w:val="center"/>
          </w:tcPr>
          <w:p w14:paraId="190BA04A">
            <w:pPr>
              <w:adjustRightInd w:val="0"/>
              <w:snapToGrid w:val="0"/>
              <w:jc w:val="center"/>
              <w:rPr>
                <w:rFonts w:hint="eastAsia" w:asciiTheme="minorEastAsia" w:hAnsiTheme="minorEastAsia" w:cstheme="minorEastAsia"/>
                <w:szCs w:val="21"/>
              </w:rPr>
            </w:pPr>
            <w:r>
              <w:rPr>
                <w:rFonts w:hint="eastAsia" w:asciiTheme="minorEastAsia" w:hAnsiTheme="minorEastAsia" w:cstheme="minorEastAsia"/>
                <w:color w:val="000000"/>
                <w:szCs w:val="21"/>
              </w:rPr>
              <w:t>化学</w:t>
            </w:r>
          </w:p>
        </w:tc>
        <w:tc>
          <w:tcPr>
            <w:tcW w:w="2170" w:type="dxa"/>
            <w:tcBorders>
              <w:tl2br w:val="nil"/>
              <w:tr2bl w:val="nil"/>
            </w:tcBorders>
            <w:shd w:val="clear" w:color="auto" w:fill="auto"/>
            <w:vAlign w:val="center"/>
          </w:tcPr>
          <w:p w14:paraId="6E10E64F">
            <w:pPr>
              <w:adjustRightInd w:val="0"/>
              <w:snapToGrid w:val="0"/>
              <w:jc w:val="center"/>
              <w:rPr>
                <w:rFonts w:hint="eastAsia" w:asciiTheme="minorEastAsia" w:hAnsiTheme="minorEastAsia" w:cstheme="minorEastAsia"/>
                <w:szCs w:val="21"/>
              </w:rPr>
            </w:pPr>
            <w:r>
              <w:rPr>
                <w:rFonts w:hint="eastAsia" w:asciiTheme="minorEastAsia" w:hAnsiTheme="minorEastAsia" w:cstheme="minorEastAsia"/>
                <w:color w:val="000000"/>
                <w:szCs w:val="21"/>
              </w:rPr>
              <w:t>无</w:t>
            </w:r>
          </w:p>
        </w:tc>
        <w:tc>
          <w:tcPr>
            <w:tcW w:w="7524" w:type="dxa"/>
            <w:tcBorders>
              <w:tl2br w:val="nil"/>
              <w:tr2bl w:val="nil"/>
            </w:tcBorders>
            <w:shd w:val="clear" w:color="auto" w:fill="auto"/>
            <w:vAlign w:val="center"/>
          </w:tcPr>
          <w:p w14:paraId="19606414">
            <w:pPr>
              <w:adjustRightInd w:val="0"/>
              <w:snapToGrid w:val="0"/>
              <w:rPr>
                <w:rFonts w:hint="eastAsia" w:asciiTheme="minorEastAsia" w:hAnsiTheme="minorEastAsia" w:cstheme="minorEastAsia"/>
                <w:szCs w:val="21"/>
              </w:rPr>
            </w:pPr>
            <w:r>
              <w:rPr>
                <w:rFonts w:hint="eastAsia" w:asciiTheme="minorEastAsia" w:hAnsiTheme="minorEastAsia" w:cstheme="minorEastAsia"/>
                <w:color w:val="000000"/>
                <w:szCs w:val="21"/>
              </w:rPr>
              <w:t>拔尖创新型人才的培养是破解我国当前科技发展攻坚问题的核心。在这样的背景下，如何促进学生知识本质的认识，构建结构化知识结构体系成为基础教育化学教学的重要课题。学科大概念是居于学科中心，具有超越课堂之外的持久价值和迁移价值的关键性概念、原理和方法。因此在学生知识的掌握、迁移和创造能力的培养上都具有重要价值。然而，在一线化学教学中，教师对于哪些是能够统摄化学内容的大概念、如何基于大概念重构内容逻辑、如何基于大概念进行主题或单元式设计等问题仍然存在困惑。课题研究致力于破解大概念教学的相关实践问题，在理论和实践探索中总结可供推广的设计和实践模式及策略。</w:t>
            </w:r>
          </w:p>
        </w:tc>
        <w:tc>
          <w:tcPr>
            <w:tcW w:w="867" w:type="dxa"/>
            <w:tcBorders>
              <w:tl2br w:val="nil"/>
              <w:tr2bl w:val="nil"/>
            </w:tcBorders>
            <w:shd w:val="clear" w:color="auto" w:fill="auto"/>
            <w:vAlign w:val="center"/>
          </w:tcPr>
          <w:p w14:paraId="21EC2504">
            <w:pPr>
              <w:adjustRightInd w:val="0"/>
              <w:snapToGrid w:val="0"/>
              <w:jc w:val="center"/>
              <w:rPr>
                <w:rFonts w:hint="eastAsia" w:asciiTheme="minorEastAsia" w:hAnsiTheme="minorEastAsia" w:cstheme="minorEastAsia"/>
                <w:szCs w:val="21"/>
              </w:rPr>
            </w:pPr>
            <w:r>
              <w:rPr>
                <w:rFonts w:hint="eastAsia" w:asciiTheme="minorEastAsia" w:hAnsiTheme="minorEastAsia" w:cstheme="minorEastAsia"/>
                <w:color w:val="000000"/>
                <w:szCs w:val="21"/>
              </w:rPr>
              <w:t>李艳梅</w:t>
            </w:r>
          </w:p>
        </w:tc>
      </w:tr>
      <w:tr w14:paraId="04DB12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720" w:type="dxa"/>
            <w:tcBorders>
              <w:tl2br w:val="nil"/>
              <w:tr2bl w:val="nil"/>
            </w:tcBorders>
            <w:shd w:val="clear" w:color="auto" w:fill="auto"/>
            <w:vAlign w:val="center"/>
          </w:tcPr>
          <w:p w14:paraId="7E0139E1">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13</w:t>
            </w:r>
          </w:p>
        </w:tc>
        <w:tc>
          <w:tcPr>
            <w:tcW w:w="2067" w:type="dxa"/>
            <w:tcBorders>
              <w:tl2br w:val="nil"/>
              <w:tr2bl w:val="nil"/>
            </w:tcBorders>
            <w:shd w:val="clear" w:color="auto" w:fill="auto"/>
            <w:vAlign w:val="center"/>
          </w:tcPr>
          <w:p w14:paraId="10165F4F">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素养为本的中学化学教学研究：现状，问题与改进</w:t>
            </w:r>
          </w:p>
        </w:tc>
        <w:tc>
          <w:tcPr>
            <w:tcW w:w="760" w:type="dxa"/>
            <w:tcBorders>
              <w:tl2br w:val="nil"/>
              <w:tr2bl w:val="nil"/>
            </w:tcBorders>
            <w:shd w:val="clear" w:color="auto" w:fill="auto"/>
            <w:vAlign w:val="center"/>
          </w:tcPr>
          <w:p w14:paraId="455302D6">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化学</w:t>
            </w:r>
          </w:p>
        </w:tc>
        <w:tc>
          <w:tcPr>
            <w:tcW w:w="2170" w:type="dxa"/>
            <w:tcBorders>
              <w:tl2br w:val="nil"/>
              <w:tr2bl w:val="nil"/>
            </w:tcBorders>
            <w:shd w:val="clear" w:color="auto" w:fill="auto"/>
            <w:vAlign w:val="center"/>
          </w:tcPr>
          <w:p w14:paraId="1CA09ADE">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无</w:t>
            </w:r>
          </w:p>
        </w:tc>
        <w:tc>
          <w:tcPr>
            <w:tcW w:w="7524" w:type="dxa"/>
            <w:tcBorders>
              <w:tl2br w:val="nil"/>
              <w:tr2bl w:val="nil"/>
            </w:tcBorders>
            <w:shd w:val="clear" w:color="auto" w:fill="auto"/>
            <w:vAlign w:val="center"/>
          </w:tcPr>
          <w:p w14:paraId="5862094B">
            <w:pPr>
              <w:adjustRightInd w:val="0"/>
              <w:snapToGrid w:val="0"/>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当前基础教育化学课程基于倡导发展学生的学科核心素养，着力发展学生真实情境下化学问题的解决能力。那么在实际的教学实施过程中，学科素养教学在实际的教学过程中实施情况如何，遇到了哪些问题，因应当前存在的问题，如何基于理论和实践探索进行破解，是当前化学教学亟待解决的问题。东北师范大学化学教育研究所近年来一直致力于开展素养落地课的实践研究，积累了大量理论和实践研究成果。能够通过合作有效指导试验区开展相关研究。</w:t>
            </w:r>
          </w:p>
        </w:tc>
        <w:tc>
          <w:tcPr>
            <w:tcW w:w="867" w:type="dxa"/>
            <w:tcBorders>
              <w:tl2br w:val="nil"/>
              <w:tr2bl w:val="nil"/>
            </w:tcBorders>
            <w:shd w:val="clear" w:color="auto" w:fill="auto"/>
            <w:vAlign w:val="center"/>
          </w:tcPr>
          <w:p w14:paraId="440B697F">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李艳梅</w:t>
            </w:r>
          </w:p>
        </w:tc>
      </w:tr>
      <w:tr w14:paraId="7208B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720" w:type="dxa"/>
            <w:tcBorders>
              <w:tl2br w:val="nil"/>
              <w:tr2bl w:val="nil"/>
            </w:tcBorders>
            <w:shd w:val="clear" w:color="auto" w:fill="auto"/>
            <w:vAlign w:val="center"/>
          </w:tcPr>
          <w:p w14:paraId="63622293">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14</w:t>
            </w:r>
          </w:p>
        </w:tc>
        <w:tc>
          <w:tcPr>
            <w:tcW w:w="2067" w:type="dxa"/>
            <w:tcBorders>
              <w:tl2br w:val="nil"/>
              <w:tr2bl w:val="nil"/>
            </w:tcBorders>
            <w:shd w:val="clear" w:color="auto" w:fill="auto"/>
            <w:vAlign w:val="center"/>
          </w:tcPr>
          <w:p w14:paraId="46D54C53">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素养导向的中学化学教学行动研究</w:t>
            </w:r>
          </w:p>
        </w:tc>
        <w:tc>
          <w:tcPr>
            <w:tcW w:w="760" w:type="dxa"/>
            <w:tcBorders>
              <w:tl2br w:val="nil"/>
              <w:tr2bl w:val="nil"/>
            </w:tcBorders>
            <w:shd w:val="clear" w:color="auto" w:fill="auto"/>
            <w:vAlign w:val="center"/>
          </w:tcPr>
          <w:p w14:paraId="7FDDEDB5">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化学</w:t>
            </w:r>
          </w:p>
        </w:tc>
        <w:tc>
          <w:tcPr>
            <w:tcW w:w="2170" w:type="dxa"/>
            <w:tcBorders>
              <w:tl2br w:val="nil"/>
              <w:tr2bl w:val="nil"/>
            </w:tcBorders>
            <w:shd w:val="clear" w:color="auto" w:fill="auto"/>
            <w:vAlign w:val="center"/>
          </w:tcPr>
          <w:p w14:paraId="7FF5259F">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基于“新课标.新技术.新课堂”的中学化学教学设计与案例研究</w:t>
            </w:r>
          </w:p>
        </w:tc>
        <w:tc>
          <w:tcPr>
            <w:tcW w:w="7524" w:type="dxa"/>
            <w:tcBorders>
              <w:tl2br w:val="nil"/>
              <w:tr2bl w:val="nil"/>
            </w:tcBorders>
            <w:shd w:val="clear" w:color="auto" w:fill="auto"/>
            <w:vAlign w:val="center"/>
          </w:tcPr>
          <w:p w14:paraId="7AB1421D">
            <w:pPr>
              <w:widowControl/>
              <w:adjustRightInd w:val="0"/>
              <w:snapToGrid w:val="0"/>
              <w:rPr>
                <w:rFonts w:hint="eastAsia" w:asciiTheme="minorEastAsia" w:hAnsiTheme="minorEastAsia" w:cstheme="minorEastAsia"/>
                <w:color w:val="000000"/>
                <w:szCs w:val="21"/>
              </w:rPr>
            </w:pPr>
            <w:r>
              <w:rPr>
                <w:rFonts w:hint="eastAsia" w:asciiTheme="minorEastAsia" w:hAnsiTheme="minorEastAsia" w:cstheme="minorEastAsia"/>
                <w:color w:val="000000"/>
                <w:kern w:val="0"/>
                <w:szCs w:val="21"/>
                <w:lang w:bidi="ar"/>
              </w:rPr>
              <w:t>随</w:t>
            </w:r>
            <w:r>
              <w:rPr>
                <w:rFonts w:hint="eastAsia" w:asciiTheme="minorEastAsia" w:hAnsiTheme="minorEastAsia" w:cstheme="minorEastAsia"/>
                <w:color w:val="000000"/>
                <w:szCs w:val="21"/>
              </w:rPr>
              <w:t>着初、高中新的课程标准的颁布，新一轮基于核心素养的基础教育课程改革已经全面进入实施阶段。教师了解新课标及其变化，利用信息技术手段，创造新的课堂教学，落实核心素养是课程改革的关键。为此，有必要引领一线教师基于新课标、新技术进行化学教学设计与课堂教学。</w:t>
            </w:r>
          </w:p>
          <w:p w14:paraId="7D424E63">
            <w:pPr>
              <w:widowControl/>
              <w:adjustRightInd w:val="0"/>
              <w:snapToGrid w:val="0"/>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初中化学，高中必修、选择性必修和选修课程都是围绕5个核心主题结构化、进阶式设计。课题组在教学过程中明确5个核心主题体现的大概念，以大概念统领构建化学教学单元，进行单元教学设计，整体发展学生的化学观念、科学思维、探究与实践以及态度和责任等核心素养。已经开发了初中、高中共20个典型的教学案例。</w:t>
            </w:r>
          </w:p>
          <w:p w14:paraId="73C635E8">
            <w:pPr>
              <w:widowControl/>
              <w:adjustRightInd w:val="0"/>
              <w:snapToGrid w:val="0"/>
              <w:rPr>
                <w:rFonts w:hint="eastAsia" w:asciiTheme="minorEastAsia" w:hAnsiTheme="minorEastAsia" w:cstheme="minorEastAsia"/>
                <w:bCs/>
                <w:szCs w:val="21"/>
              </w:rPr>
            </w:pPr>
            <w:r>
              <w:rPr>
                <w:rFonts w:hint="eastAsia" w:asciiTheme="minorEastAsia" w:hAnsiTheme="minorEastAsia" w:cstheme="minorEastAsia"/>
                <w:color w:val="000000"/>
                <w:szCs w:val="21"/>
              </w:rPr>
              <w:t>拟破解问题：对基于“新课标.新技术.新课堂”的中学化学教学设计的案例，引导一线教师在课堂教学中进行行动研究，不断改进与完善案例，为新课标提出的素养为本的教学积累一批课例资源。同时引领教师基于新课标进行课堂教学，提升教师素养导向的教学实践能力，促进核心素养观念的落地。</w:t>
            </w:r>
          </w:p>
        </w:tc>
        <w:tc>
          <w:tcPr>
            <w:tcW w:w="867" w:type="dxa"/>
            <w:tcBorders>
              <w:tl2br w:val="nil"/>
              <w:tr2bl w:val="nil"/>
            </w:tcBorders>
            <w:shd w:val="clear" w:color="auto" w:fill="auto"/>
            <w:vAlign w:val="center"/>
          </w:tcPr>
          <w:p w14:paraId="160EEE8F">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王秀红</w:t>
            </w:r>
          </w:p>
          <w:p w14:paraId="55E29F5E">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王春刚</w:t>
            </w:r>
          </w:p>
        </w:tc>
      </w:tr>
      <w:tr w14:paraId="5A4034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 w:hRule="atLeast"/>
          <w:jc w:val="center"/>
        </w:trPr>
        <w:tc>
          <w:tcPr>
            <w:tcW w:w="720" w:type="dxa"/>
            <w:tcBorders>
              <w:tl2br w:val="nil"/>
              <w:tr2bl w:val="nil"/>
            </w:tcBorders>
            <w:shd w:val="clear" w:color="auto" w:fill="auto"/>
            <w:vAlign w:val="center"/>
          </w:tcPr>
          <w:p w14:paraId="5303C2DE">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15</w:t>
            </w:r>
          </w:p>
        </w:tc>
        <w:tc>
          <w:tcPr>
            <w:tcW w:w="2067" w:type="dxa"/>
            <w:tcBorders>
              <w:tl2br w:val="nil"/>
              <w:tr2bl w:val="nil"/>
            </w:tcBorders>
            <w:shd w:val="clear" w:color="auto" w:fill="auto"/>
            <w:vAlign w:val="center"/>
          </w:tcPr>
          <w:p w14:paraId="52578E4C">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指向高阶思维的化学教学研究</w:t>
            </w:r>
          </w:p>
        </w:tc>
        <w:tc>
          <w:tcPr>
            <w:tcW w:w="760" w:type="dxa"/>
            <w:tcBorders>
              <w:tl2br w:val="nil"/>
              <w:tr2bl w:val="nil"/>
            </w:tcBorders>
            <w:shd w:val="clear" w:color="auto" w:fill="auto"/>
            <w:vAlign w:val="center"/>
          </w:tcPr>
          <w:p w14:paraId="03FAD6AD">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化学</w:t>
            </w:r>
          </w:p>
        </w:tc>
        <w:tc>
          <w:tcPr>
            <w:tcW w:w="2170" w:type="dxa"/>
            <w:tcBorders>
              <w:tl2br w:val="nil"/>
              <w:tr2bl w:val="nil"/>
            </w:tcBorders>
            <w:shd w:val="clear" w:color="auto" w:fill="auto"/>
            <w:vAlign w:val="center"/>
          </w:tcPr>
          <w:p w14:paraId="490A4EE3">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化学教学中学生高阶思维的测评研究</w:t>
            </w:r>
          </w:p>
        </w:tc>
        <w:tc>
          <w:tcPr>
            <w:tcW w:w="7524" w:type="dxa"/>
            <w:tcBorders>
              <w:tl2br w:val="nil"/>
              <w:tr2bl w:val="nil"/>
            </w:tcBorders>
            <w:shd w:val="clear" w:color="auto" w:fill="auto"/>
            <w:vAlign w:val="center"/>
          </w:tcPr>
          <w:p w14:paraId="2B814278">
            <w:pPr>
              <w:adjustRightInd w:val="0"/>
              <w:snapToGrid w:val="0"/>
              <w:rPr>
                <w:rFonts w:hint="eastAsia" w:asciiTheme="minorEastAsia" w:hAnsiTheme="minorEastAsia" w:cstheme="minorEastAsia"/>
                <w:szCs w:val="21"/>
              </w:rPr>
            </w:pPr>
            <w:r>
              <w:rPr>
                <w:rFonts w:hint="eastAsia" w:asciiTheme="minorEastAsia" w:hAnsiTheme="minorEastAsia" w:cstheme="minorEastAsia"/>
                <w:szCs w:val="21"/>
              </w:rPr>
              <w:t>落实核心素养的教学工作正在推进，但课堂教学中仍然存在很多问题，仍以知识讲授为主导，教师更多地关注某节课中的具体知识，较少关注教学内容的功能价值与思维属性。学生对化学学科的理解偏低，运用知识解决新问题的能力偏弱，学习动力不足，学习过程中思维深度不够。因此，浅层思维的教学现实亟待变，关注学生高阶思维水平发展的课堂需要系统化的指引。本课题通过硕博研究生的研究，已经对高阶思维的化学课堂提问设计与实施进行了探索，明确了高阶思维的内涵，对化学教学中高阶思维的教学进行了尝试。</w:t>
            </w:r>
          </w:p>
          <w:p w14:paraId="18DFAD91">
            <w:pPr>
              <w:widowControl/>
              <w:adjustRightInd w:val="0"/>
              <w:snapToGrid w:val="0"/>
              <w:rPr>
                <w:rFonts w:hint="eastAsia" w:asciiTheme="minorEastAsia" w:hAnsiTheme="minorEastAsia" w:cstheme="minorEastAsia"/>
                <w:szCs w:val="21"/>
              </w:rPr>
            </w:pPr>
            <w:r>
              <w:rPr>
                <w:rFonts w:hint="eastAsia" w:asciiTheme="minorEastAsia" w:hAnsiTheme="minorEastAsia" w:cstheme="minorEastAsia"/>
                <w:szCs w:val="21"/>
              </w:rPr>
              <w:t>“高阶思维”是适应新时代发展背景下学生的必备能力，在教学实践中依托学科教学实现，培养学生的高阶思维作为化学教学的培养目标，需要稳定的教学模式作为教学设计的依据。因此，本研究拟突破的核心问题是：“指向高阶思维发展的教学模式应该是怎样的”。围绕核心问题，本研究拟解决如下三个子问题：</w:t>
            </w:r>
          </w:p>
          <w:p w14:paraId="58126173">
            <w:pPr>
              <w:adjustRightInd w:val="0"/>
              <w:snapToGrid w:val="0"/>
              <w:rPr>
                <w:rFonts w:hint="eastAsia" w:asciiTheme="minorEastAsia" w:hAnsiTheme="minorEastAsia" w:cstheme="minorEastAsia"/>
                <w:szCs w:val="21"/>
              </w:rPr>
            </w:pPr>
            <w:r>
              <w:rPr>
                <w:rFonts w:hint="eastAsia" w:asciiTheme="minorEastAsia" w:hAnsiTheme="minorEastAsia" w:cstheme="minorEastAsia"/>
                <w:szCs w:val="21"/>
              </w:rPr>
              <w:t>1.理论阐释——“化学高阶思维”的内涵、要素及特点是什么？</w:t>
            </w:r>
          </w:p>
          <w:p w14:paraId="54316772">
            <w:pPr>
              <w:adjustRightInd w:val="0"/>
              <w:snapToGrid w:val="0"/>
              <w:rPr>
                <w:rFonts w:hint="eastAsia" w:asciiTheme="minorEastAsia" w:hAnsiTheme="minorEastAsia" w:cstheme="minorEastAsia"/>
                <w:szCs w:val="21"/>
              </w:rPr>
            </w:pPr>
            <w:r>
              <w:rPr>
                <w:rFonts w:hint="eastAsia" w:asciiTheme="minorEastAsia" w:hAnsiTheme="minorEastAsia" w:cstheme="minorEastAsia"/>
                <w:szCs w:val="21"/>
              </w:rPr>
              <w:t>2.模式构建——指向化学高阶思维发展的教学策略原型是什么？</w:t>
            </w:r>
          </w:p>
          <w:p w14:paraId="065A651F">
            <w:pPr>
              <w:adjustRightInd w:val="0"/>
              <w:snapToGrid w:val="0"/>
              <w:rPr>
                <w:rFonts w:hint="eastAsia" w:asciiTheme="minorEastAsia" w:hAnsiTheme="minorEastAsia" w:cstheme="minorEastAsia"/>
                <w:szCs w:val="21"/>
              </w:rPr>
            </w:pPr>
            <w:r>
              <w:rPr>
                <w:rFonts w:hint="eastAsia" w:asciiTheme="minorEastAsia" w:hAnsiTheme="minorEastAsia" w:cstheme="minorEastAsia"/>
                <w:szCs w:val="21"/>
              </w:rPr>
              <w:t>3.教学实践——如何在教学实践中修正和完善教学策略原型？</w:t>
            </w:r>
          </w:p>
          <w:p w14:paraId="54E60E88">
            <w:pPr>
              <w:adjustRightInd w:val="0"/>
              <w:snapToGrid w:val="0"/>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本课题</w:t>
            </w:r>
            <w:r>
              <w:rPr>
                <w:rFonts w:hint="eastAsia" w:asciiTheme="minorEastAsia" w:hAnsiTheme="minorEastAsia" w:cstheme="minorEastAsia"/>
                <w:szCs w:val="21"/>
              </w:rPr>
              <w:t>为化学课堂教学提供较为稳定的模型依据。本研究利用视频分析法得到凸显高阶思维课堂的教学特征，构建并检验了教学模式，依据教学模式的构成要素、操作流程和师生行为指南可以有针对性设计教学，教学模式为开展化学学科属性的高阶思维教学提供了稳定的指导。</w:t>
            </w:r>
          </w:p>
        </w:tc>
        <w:tc>
          <w:tcPr>
            <w:tcW w:w="867" w:type="dxa"/>
            <w:tcBorders>
              <w:tl2br w:val="nil"/>
              <w:tr2bl w:val="nil"/>
            </w:tcBorders>
            <w:shd w:val="clear" w:color="auto" w:fill="auto"/>
            <w:vAlign w:val="center"/>
          </w:tcPr>
          <w:p w14:paraId="18C8610F">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王秀红</w:t>
            </w:r>
          </w:p>
        </w:tc>
      </w:tr>
      <w:tr w14:paraId="09510B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720" w:type="dxa"/>
            <w:tcBorders>
              <w:tl2br w:val="nil"/>
              <w:tr2bl w:val="nil"/>
            </w:tcBorders>
            <w:shd w:val="clear" w:color="auto" w:fill="auto"/>
            <w:vAlign w:val="center"/>
          </w:tcPr>
          <w:p w14:paraId="6C222144">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16</w:t>
            </w:r>
          </w:p>
        </w:tc>
        <w:tc>
          <w:tcPr>
            <w:tcW w:w="2067" w:type="dxa"/>
            <w:tcBorders>
              <w:tl2br w:val="nil"/>
              <w:tr2bl w:val="nil"/>
            </w:tcBorders>
            <w:shd w:val="clear" w:color="auto" w:fill="auto"/>
            <w:vAlign w:val="center"/>
          </w:tcPr>
          <w:p w14:paraId="7463249D">
            <w:pPr>
              <w:adjustRightInd w:val="0"/>
              <w:snapToGrid w:val="0"/>
              <w:jc w:val="center"/>
              <w:rPr>
                <w:rFonts w:hint="eastAsia" w:asciiTheme="minorEastAsia" w:hAnsiTheme="minorEastAsia" w:cstheme="minorEastAsia"/>
                <w:szCs w:val="21"/>
              </w:rPr>
            </w:pPr>
            <w:r>
              <w:rPr>
                <w:rFonts w:hint="eastAsia" w:asciiTheme="minorEastAsia" w:hAnsiTheme="minorEastAsia" w:cstheme="minorEastAsia"/>
                <w:szCs w:val="21"/>
                <w:lang w:eastAsia="zh-Hans"/>
              </w:rPr>
              <w:t>指向学生职业发展的农村高中生物学STEM校本课程开发模式研究</w:t>
            </w:r>
          </w:p>
        </w:tc>
        <w:tc>
          <w:tcPr>
            <w:tcW w:w="760" w:type="dxa"/>
            <w:tcBorders>
              <w:tl2br w:val="nil"/>
              <w:tr2bl w:val="nil"/>
            </w:tcBorders>
            <w:shd w:val="clear" w:color="auto" w:fill="auto"/>
            <w:vAlign w:val="center"/>
          </w:tcPr>
          <w:p w14:paraId="1A807F11">
            <w:pPr>
              <w:adjustRightInd w:val="0"/>
              <w:snapToGrid w:val="0"/>
              <w:jc w:val="center"/>
              <w:rPr>
                <w:rFonts w:hint="eastAsia" w:asciiTheme="minorEastAsia" w:hAnsiTheme="minorEastAsia" w:cstheme="minorEastAsia"/>
                <w:szCs w:val="21"/>
              </w:rPr>
            </w:pPr>
            <w:r>
              <w:rPr>
                <w:rFonts w:hint="eastAsia" w:asciiTheme="minorEastAsia" w:hAnsiTheme="minorEastAsia" w:cstheme="minorEastAsia"/>
                <w:color w:val="000000"/>
                <w:szCs w:val="21"/>
              </w:rPr>
              <w:t>生</w:t>
            </w:r>
            <w:r>
              <w:rPr>
                <w:rFonts w:hint="eastAsia" w:asciiTheme="minorEastAsia" w:hAnsiTheme="minorEastAsia" w:cstheme="minorEastAsia"/>
                <w:color w:val="000000"/>
                <w:szCs w:val="21"/>
                <w:lang w:eastAsia="zh-Hans"/>
              </w:rPr>
              <w:t>物</w:t>
            </w:r>
          </w:p>
        </w:tc>
        <w:tc>
          <w:tcPr>
            <w:tcW w:w="2170" w:type="dxa"/>
            <w:tcBorders>
              <w:tl2br w:val="nil"/>
              <w:tr2bl w:val="nil"/>
            </w:tcBorders>
            <w:shd w:val="clear" w:color="auto" w:fill="auto"/>
            <w:vAlign w:val="center"/>
          </w:tcPr>
          <w:p w14:paraId="4E977588">
            <w:pPr>
              <w:adjustRightInd w:val="0"/>
              <w:snapToGrid w:val="0"/>
              <w:jc w:val="center"/>
              <w:rPr>
                <w:rFonts w:hint="eastAsia" w:asciiTheme="minorEastAsia" w:hAnsiTheme="minorEastAsia" w:cstheme="minorEastAsia"/>
                <w:szCs w:val="21"/>
              </w:rPr>
            </w:pPr>
            <w:r>
              <w:rPr>
                <w:rFonts w:hint="eastAsia" w:asciiTheme="minorEastAsia" w:hAnsiTheme="minorEastAsia" w:cstheme="minorEastAsia"/>
                <w:color w:val="000000"/>
                <w:szCs w:val="21"/>
                <w:lang w:eastAsia="zh-Hans"/>
              </w:rPr>
              <w:t>农村高中生物学校本课程开发模式的研究与实践</w:t>
            </w:r>
          </w:p>
        </w:tc>
        <w:tc>
          <w:tcPr>
            <w:tcW w:w="7524" w:type="dxa"/>
            <w:tcBorders>
              <w:tl2br w:val="nil"/>
              <w:tr2bl w:val="nil"/>
            </w:tcBorders>
            <w:shd w:val="clear" w:color="auto" w:fill="auto"/>
            <w:vAlign w:val="center"/>
          </w:tcPr>
          <w:p w14:paraId="2384D1C0">
            <w:pPr>
              <w:adjustRightInd w:val="0"/>
              <w:snapToGrid w:val="0"/>
              <w:rPr>
                <w:rFonts w:hint="eastAsia" w:asciiTheme="minorEastAsia" w:hAnsiTheme="minorEastAsia" w:cstheme="minorEastAsia"/>
                <w:szCs w:val="21"/>
              </w:rPr>
            </w:pPr>
            <w:r>
              <w:rPr>
                <w:rFonts w:hint="eastAsia" w:asciiTheme="minorEastAsia" w:hAnsiTheme="minorEastAsia" w:cstheme="minorEastAsia"/>
                <w:szCs w:val="21"/>
              </w:rPr>
              <w:t>在新高考改革的大方向下，学生在高中阶段入学伊始就需要直面专业与未来职业方向选择的考验。2020年3月，中共中央、国务院《关于全面加强新时代大中小学劳动教育的意见》中指出，劳动教育能促进学生形成正确世界观、人生观、价值观，为学生获得正确择业、就业观念，树立职业规划与发展意识提供实践基础和理论指导。相较于城镇而言，农村高中生职业发展意识不强、就业方向选择模糊，在高考后无论升入高校深造、进入职业类院校学习、还是留在农村从事农业生产工作，均难以找到合适的从业方向、获得相应的自我效能感。因此，在农村高中生物学课程实施过程中，可依据《普通高中生物学课程标准（2017年版2020年修订）》中对“校本课程为学生职业规划奠定基础”的内容要求，建立课程开发模式、开发校本课程，向学生传达职业选择、生涯规划、自我发展的观念，引导学生探索自身的职业发展之路，实现自我价值。</w:t>
            </w:r>
          </w:p>
          <w:p w14:paraId="396F8971">
            <w:pPr>
              <w:adjustRightInd w:val="0"/>
              <w:snapToGrid w:val="0"/>
              <w:rPr>
                <w:rFonts w:hint="eastAsia" w:asciiTheme="minorEastAsia" w:hAnsiTheme="minorEastAsia" w:cstheme="minorEastAsia"/>
                <w:szCs w:val="21"/>
              </w:rPr>
            </w:pPr>
            <w:r>
              <w:rPr>
                <w:rFonts w:hint="eastAsia" w:asciiTheme="minorEastAsia" w:hAnsiTheme="minorEastAsia" w:cstheme="minorEastAsia"/>
                <w:szCs w:val="21"/>
              </w:rPr>
              <w:t>拟</w:t>
            </w:r>
            <w:r>
              <w:rPr>
                <w:rFonts w:hint="eastAsia" w:asciiTheme="minorEastAsia" w:hAnsiTheme="minorEastAsia" w:cstheme="minorEastAsia"/>
                <w:szCs w:val="21"/>
                <w:lang w:eastAsia="zh-Hans"/>
              </w:rPr>
              <w:t>破解问题：</w:t>
            </w:r>
            <w:r>
              <w:rPr>
                <w:rFonts w:hint="eastAsia" w:asciiTheme="minorEastAsia" w:hAnsiTheme="minorEastAsia" w:cstheme="minorEastAsia"/>
                <w:szCs w:val="21"/>
              </w:rPr>
              <w:t>构建以STEM教育理念为指导的农村高中生物学校本课程开发模式，从课程体系、操作步骤、实施策略等角度出发关注学生农村知识获取与生产技能养成，引导其产生自我发展诉求，选定未来专业方向，科学规划职业生涯，达成全面、科学、健康发展。</w:t>
            </w:r>
          </w:p>
        </w:tc>
        <w:tc>
          <w:tcPr>
            <w:tcW w:w="867" w:type="dxa"/>
            <w:tcBorders>
              <w:tl2br w:val="nil"/>
              <w:tr2bl w:val="nil"/>
            </w:tcBorders>
            <w:shd w:val="clear" w:color="auto" w:fill="auto"/>
            <w:vAlign w:val="center"/>
          </w:tcPr>
          <w:p w14:paraId="06F893F6">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lang w:eastAsia="zh-Hans"/>
              </w:rPr>
              <w:t>黄鹤</w:t>
            </w:r>
          </w:p>
        </w:tc>
      </w:tr>
      <w:tr w14:paraId="161A3E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720" w:type="dxa"/>
            <w:tcBorders>
              <w:tl2br w:val="nil"/>
              <w:tr2bl w:val="nil"/>
            </w:tcBorders>
            <w:shd w:val="clear" w:color="auto" w:fill="auto"/>
            <w:vAlign w:val="center"/>
          </w:tcPr>
          <w:p w14:paraId="0520CA09">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17</w:t>
            </w:r>
          </w:p>
        </w:tc>
        <w:tc>
          <w:tcPr>
            <w:tcW w:w="2067" w:type="dxa"/>
            <w:tcBorders>
              <w:tl2br w:val="nil"/>
              <w:tr2bl w:val="nil"/>
            </w:tcBorders>
            <w:shd w:val="clear" w:color="auto" w:fill="auto"/>
            <w:vAlign w:val="center"/>
          </w:tcPr>
          <w:p w14:paraId="55F3817A">
            <w:pPr>
              <w:adjustRightInd w:val="0"/>
              <w:snapToGrid w:val="0"/>
              <w:jc w:val="center"/>
              <w:rPr>
                <w:rFonts w:hint="eastAsia" w:asciiTheme="minorEastAsia" w:hAnsiTheme="minorEastAsia" w:cstheme="minorEastAsia"/>
                <w:szCs w:val="21"/>
              </w:rPr>
            </w:pPr>
            <w:r>
              <w:rPr>
                <w:rFonts w:hint="eastAsia" w:asciiTheme="minorEastAsia" w:hAnsiTheme="minorEastAsia" w:cstheme="minorEastAsia"/>
                <w:color w:val="000000"/>
                <w:szCs w:val="21"/>
              </w:rPr>
              <w:t>中学生物学科校本课程体系设计与开发</w:t>
            </w:r>
          </w:p>
        </w:tc>
        <w:tc>
          <w:tcPr>
            <w:tcW w:w="760" w:type="dxa"/>
            <w:tcBorders>
              <w:tl2br w:val="nil"/>
              <w:tr2bl w:val="nil"/>
            </w:tcBorders>
            <w:shd w:val="clear" w:color="auto" w:fill="auto"/>
            <w:vAlign w:val="center"/>
          </w:tcPr>
          <w:p w14:paraId="79BB06B9">
            <w:pPr>
              <w:adjustRightInd w:val="0"/>
              <w:snapToGrid w:val="0"/>
              <w:jc w:val="center"/>
              <w:rPr>
                <w:rFonts w:hint="eastAsia" w:asciiTheme="minorEastAsia" w:hAnsiTheme="minorEastAsia" w:cstheme="minorEastAsia"/>
                <w:szCs w:val="21"/>
              </w:rPr>
            </w:pPr>
            <w:r>
              <w:rPr>
                <w:rFonts w:hint="eastAsia" w:asciiTheme="minorEastAsia" w:hAnsiTheme="minorEastAsia" w:cstheme="minorEastAsia"/>
                <w:color w:val="000000"/>
                <w:szCs w:val="21"/>
              </w:rPr>
              <w:t>生物</w:t>
            </w:r>
          </w:p>
        </w:tc>
        <w:tc>
          <w:tcPr>
            <w:tcW w:w="2170" w:type="dxa"/>
            <w:tcBorders>
              <w:tl2br w:val="nil"/>
              <w:tr2bl w:val="nil"/>
            </w:tcBorders>
            <w:shd w:val="clear" w:color="auto" w:fill="auto"/>
            <w:vAlign w:val="center"/>
          </w:tcPr>
          <w:p w14:paraId="16FDEC82">
            <w:pPr>
              <w:adjustRightInd w:val="0"/>
              <w:snapToGrid w:val="0"/>
              <w:jc w:val="center"/>
              <w:rPr>
                <w:rFonts w:hint="eastAsia" w:asciiTheme="minorEastAsia" w:hAnsiTheme="minorEastAsia" w:cstheme="minorEastAsia"/>
                <w:szCs w:val="21"/>
              </w:rPr>
            </w:pPr>
            <w:r>
              <w:rPr>
                <w:rFonts w:hint="eastAsia" w:asciiTheme="minorEastAsia" w:hAnsiTheme="minorEastAsia" w:cstheme="minorEastAsia"/>
                <w:color w:val="000000"/>
                <w:szCs w:val="21"/>
              </w:rPr>
              <w:t>无</w:t>
            </w:r>
          </w:p>
        </w:tc>
        <w:tc>
          <w:tcPr>
            <w:tcW w:w="7524" w:type="dxa"/>
            <w:tcBorders>
              <w:tl2br w:val="nil"/>
              <w:tr2bl w:val="nil"/>
            </w:tcBorders>
            <w:shd w:val="clear" w:color="auto" w:fill="auto"/>
            <w:vAlign w:val="center"/>
          </w:tcPr>
          <w:p w14:paraId="2666F019">
            <w:pPr>
              <w:pStyle w:val="13"/>
              <w:adjustRightInd w:val="0"/>
              <w:snapToGrid w:val="0"/>
              <w:ind w:firstLine="0" w:firstLineChars="0"/>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根据国家课程建设体系的规划，实行国家课程、地方课程和校本课程三级结构的理念，各中学陆续进行校本课程的开发和实践，基本具有相应的理论水平和实践能力，并且具有一定的经验和继续开展研究的基础。</w:t>
            </w:r>
          </w:p>
          <w:p w14:paraId="5615C3C0">
            <w:pPr>
              <w:pStyle w:val="13"/>
              <w:adjustRightInd w:val="0"/>
              <w:snapToGrid w:val="0"/>
              <w:ind w:firstLine="0" w:firstLineChars="0"/>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现实问题：校本课程的开发最初是考虑学校的客观条件、教师的水平能力和学情基础等因素，达到补充国家课程在满足具体地域和具体学习者的差异性需求的不足的目的，总体上呈现丰富多样的特点；但同时也存在具体到一所或一地的学校，所开发的校本课程或有主题单一，方向单调的问题。</w:t>
            </w:r>
          </w:p>
          <w:p w14:paraId="1C038055">
            <w:pPr>
              <w:pStyle w:val="13"/>
              <w:adjustRightInd w:val="0"/>
              <w:snapToGrid w:val="0"/>
              <w:ind w:firstLine="0" w:firstLineChars="0"/>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问题突破：参考《生物学课程标准》中关于课程结构的设计等内容，选修部分包括现实生活应用、职业规划前瞻、学业发展基础三个方向，每个方向有若干模块及相关内容选题和实施建议。提示我们可以将已有的校本课程进行分类和改造，并寻找适当的内容对即将开发的校本课程进行规划，逐步形成具有一定结构的校本课程体系，凸显学校特色，形成学科优势，满足学生学习需求。</w:t>
            </w:r>
          </w:p>
          <w:p w14:paraId="4D5EFFB7">
            <w:pPr>
              <w:pStyle w:val="13"/>
              <w:adjustRightInd w:val="0"/>
              <w:snapToGrid w:val="0"/>
              <w:ind w:firstLine="0" w:firstLineChars="0"/>
              <w:rPr>
                <w:rFonts w:hint="eastAsia" w:asciiTheme="minorEastAsia" w:hAnsiTheme="minorEastAsia" w:cstheme="minorEastAsia"/>
                <w:szCs w:val="21"/>
              </w:rPr>
            </w:pPr>
            <w:r>
              <w:rPr>
                <w:rFonts w:hint="eastAsia" w:asciiTheme="minorEastAsia" w:hAnsiTheme="minorEastAsia" w:cstheme="minorEastAsia"/>
                <w:color w:val="000000"/>
                <w:szCs w:val="21"/>
              </w:rPr>
              <w:t>解决途径：研究《课程标准》，理解设计理念；研究本校的教学实践，将体现课程改革目标的各种实践成果反思整理，以课程的形式再现，如项目式学习、跨学科实践活动、主题式综合实践活动等教学实践中具有校本课程价值的内容和实施举措借鉴过来；同包括东北师范大学在内的高等院校建立联系，获取资源或技术支持等。</w:t>
            </w:r>
          </w:p>
        </w:tc>
        <w:tc>
          <w:tcPr>
            <w:tcW w:w="867" w:type="dxa"/>
            <w:tcBorders>
              <w:tl2br w:val="nil"/>
              <w:tr2bl w:val="nil"/>
            </w:tcBorders>
            <w:shd w:val="clear" w:color="auto" w:fill="auto"/>
            <w:vAlign w:val="center"/>
          </w:tcPr>
          <w:p w14:paraId="5084EA38">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刘洋</w:t>
            </w:r>
          </w:p>
        </w:tc>
      </w:tr>
      <w:tr w14:paraId="665B7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720" w:type="dxa"/>
            <w:tcBorders>
              <w:tl2br w:val="nil"/>
              <w:tr2bl w:val="nil"/>
            </w:tcBorders>
            <w:shd w:val="clear" w:color="auto" w:fill="auto"/>
            <w:vAlign w:val="center"/>
          </w:tcPr>
          <w:p w14:paraId="07EC3EF3">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18</w:t>
            </w:r>
          </w:p>
        </w:tc>
        <w:tc>
          <w:tcPr>
            <w:tcW w:w="2067" w:type="dxa"/>
            <w:tcBorders>
              <w:tl2br w:val="nil"/>
              <w:tr2bl w:val="nil"/>
            </w:tcBorders>
            <w:shd w:val="clear" w:color="auto" w:fill="auto"/>
            <w:vAlign w:val="center"/>
          </w:tcPr>
          <w:p w14:paraId="0D379CA3">
            <w:pPr>
              <w:adjustRightInd w:val="0"/>
              <w:snapToGrid w:val="0"/>
              <w:jc w:val="center"/>
              <w:rPr>
                <w:rFonts w:hint="eastAsia" w:asciiTheme="minorEastAsia" w:hAnsiTheme="minorEastAsia" w:cstheme="minorEastAsia"/>
                <w:szCs w:val="21"/>
              </w:rPr>
            </w:pPr>
            <w:r>
              <w:rPr>
                <w:rFonts w:hint="eastAsia" w:asciiTheme="minorEastAsia" w:hAnsiTheme="minorEastAsia" w:cstheme="minorEastAsia"/>
                <w:szCs w:val="21"/>
              </w:rPr>
              <w:t>生态文明与生物学教学设计</w:t>
            </w:r>
          </w:p>
        </w:tc>
        <w:tc>
          <w:tcPr>
            <w:tcW w:w="760" w:type="dxa"/>
            <w:tcBorders>
              <w:tl2br w:val="nil"/>
              <w:tr2bl w:val="nil"/>
            </w:tcBorders>
            <w:shd w:val="clear" w:color="auto" w:fill="auto"/>
            <w:vAlign w:val="center"/>
          </w:tcPr>
          <w:p w14:paraId="2980E113">
            <w:pPr>
              <w:adjustRightInd w:val="0"/>
              <w:snapToGrid w:val="0"/>
              <w:jc w:val="center"/>
              <w:rPr>
                <w:rFonts w:hint="eastAsia" w:asciiTheme="minorEastAsia" w:hAnsiTheme="minorEastAsia" w:cstheme="minorEastAsia"/>
                <w:szCs w:val="21"/>
              </w:rPr>
            </w:pPr>
            <w:r>
              <w:rPr>
                <w:rFonts w:hint="eastAsia" w:asciiTheme="minorEastAsia" w:hAnsiTheme="minorEastAsia" w:cstheme="minorEastAsia"/>
                <w:szCs w:val="21"/>
              </w:rPr>
              <w:t>生物</w:t>
            </w:r>
          </w:p>
        </w:tc>
        <w:tc>
          <w:tcPr>
            <w:tcW w:w="2170" w:type="dxa"/>
            <w:tcBorders>
              <w:tl2br w:val="nil"/>
              <w:tr2bl w:val="nil"/>
            </w:tcBorders>
            <w:shd w:val="clear" w:color="auto" w:fill="auto"/>
            <w:vAlign w:val="center"/>
          </w:tcPr>
          <w:p w14:paraId="504750CC">
            <w:pPr>
              <w:adjustRightInd w:val="0"/>
              <w:snapToGrid w:val="0"/>
              <w:jc w:val="center"/>
              <w:rPr>
                <w:rFonts w:hint="eastAsia" w:asciiTheme="minorEastAsia" w:hAnsiTheme="minorEastAsia" w:cstheme="minorEastAsia"/>
                <w:szCs w:val="21"/>
              </w:rPr>
            </w:pPr>
            <w:r>
              <w:rPr>
                <w:rFonts w:hint="eastAsia" w:asciiTheme="minorEastAsia" w:hAnsiTheme="minorEastAsia" w:cstheme="minorEastAsia"/>
                <w:szCs w:val="21"/>
              </w:rPr>
              <w:t>无</w:t>
            </w:r>
          </w:p>
        </w:tc>
        <w:tc>
          <w:tcPr>
            <w:tcW w:w="7524" w:type="dxa"/>
            <w:tcBorders>
              <w:tl2br w:val="nil"/>
              <w:tr2bl w:val="nil"/>
            </w:tcBorders>
            <w:shd w:val="clear" w:color="auto" w:fill="auto"/>
            <w:vAlign w:val="center"/>
          </w:tcPr>
          <w:p w14:paraId="5AF3731B">
            <w:pPr>
              <w:adjustRightInd w:val="0"/>
              <w:snapToGrid w:val="0"/>
              <w:rPr>
                <w:rFonts w:hint="eastAsia" w:asciiTheme="minorEastAsia" w:hAnsiTheme="minorEastAsia" w:cstheme="minorEastAsia"/>
                <w:szCs w:val="21"/>
              </w:rPr>
            </w:pPr>
            <w:r>
              <w:rPr>
                <w:rFonts w:hint="eastAsia" w:asciiTheme="minorEastAsia" w:hAnsiTheme="minorEastAsia" w:cstheme="minorEastAsia"/>
                <w:szCs w:val="21"/>
              </w:rPr>
              <w:t>“生物多样性”是动物、植物、微生物与环境形成的生态复合体以及与此相关的各种生态过程的总和，包括生态系统、物种和基因三个层次。生物多样性是人类赖以生存的条件，是经济社会可持续发展的基础，是</w:t>
            </w:r>
            <w:r>
              <w:fldChar w:fldCharType="begin"/>
            </w:r>
            <w:r>
              <w:instrText xml:space="preserve"> HYPERLINK "https://baike.baidu.com/item/%E7%94%9F%E6%80%81%E5%AE%89%E5%85%A8/4780874?fromModule=lemma_inlink" \t "_blank" </w:instrText>
            </w:r>
            <w:r>
              <w:fldChar w:fldCharType="separate"/>
            </w:r>
            <w:r>
              <w:rPr>
                <w:rFonts w:hint="eastAsia" w:asciiTheme="minorEastAsia" w:hAnsiTheme="minorEastAsia" w:cstheme="minorEastAsia"/>
                <w:szCs w:val="21"/>
              </w:rPr>
              <w:t>生态安全</w:t>
            </w:r>
            <w:r>
              <w:rPr>
                <w:rFonts w:hint="eastAsia" w:asciiTheme="minorEastAsia" w:hAnsiTheme="minorEastAsia" w:cstheme="minorEastAsia"/>
                <w:szCs w:val="21"/>
              </w:rPr>
              <w:fldChar w:fldCharType="end"/>
            </w:r>
            <w:r>
              <w:rPr>
                <w:rFonts w:hint="eastAsia" w:asciiTheme="minorEastAsia" w:hAnsiTheme="minorEastAsia" w:cstheme="minorEastAsia"/>
                <w:szCs w:val="21"/>
              </w:rPr>
              <w:t>和</w:t>
            </w:r>
            <w:r>
              <w:fldChar w:fldCharType="begin"/>
            </w:r>
            <w:r>
              <w:instrText xml:space="preserve"> HYPERLINK "https://baike.baidu.com/item/%E7%B2%AE%E9%A3%9F%E5%AE%89%E5%85%A8/10971808?fromModule=lemma_inlink" \t "_blank" </w:instrText>
            </w:r>
            <w:r>
              <w:fldChar w:fldCharType="separate"/>
            </w:r>
            <w:r>
              <w:rPr>
                <w:rFonts w:hint="eastAsia" w:asciiTheme="minorEastAsia" w:hAnsiTheme="minorEastAsia" w:cstheme="minorEastAsia"/>
                <w:szCs w:val="21"/>
              </w:rPr>
              <w:t>粮食安全</w:t>
            </w:r>
            <w:r>
              <w:rPr>
                <w:rFonts w:hint="eastAsia" w:asciiTheme="minorEastAsia" w:hAnsiTheme="minorEastAsia" w:cstheme="minorEastAsia"/>
                <w:szCs w:val="21"/>
              </w:rPr>
              <w:fldChar w:fldCharType="end"/>
            </w:r>
            <w:r>
              <w:rPr>
                <w:rFonts w:hint="eastAsia" w:asciiTheme="minorEastAsia" w:hAnsiTheme="minorEastAsia" w:cstheme="minorEastAsia"/>
                <w:szCs w:val="21"/>
              </w:rPr>
              <w:t>的保障。生物多样性保护也是生态文明的重要组成部分，高中/初中生物学如何将生物多样性的理念贯穿于整个生物教学之中，如何设计课程？包括实验和课堂讲授，如何把这个理念通过润物细无声的方式，深深植根于学生的心中，同时把生物多样性保护付诸行动中。</w:t>
            </w:r>
          </w:p>
        </w:tc>
        <w:tc>
          <w:tcPr>
            <w:tcW w:w="867" w:type="dxa"/>
            <w:tcBorders>
              <w:tl2br w:val="nil"/>
              <w:tr2bl w:val="nil"/>
            </w:tcBorders>
            <w:shd w:val="clear" w:color="auto" w:fill="auto"/>
            <w:vAlign w:val="center"/>
          </w:tcPr>
          <w:p w14:paraId="4893BA36">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szCs w:val="21"/>
              </w:rPr>
              <w:t>高英志</w:t>
            </w:r>
          </w:p>
        </w:tc>
      </w:tr>
      <w:tr w14:paraId="389572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720" w:type="dxa"/>
            <w:tcBorders>
              <w:tl2br w:val="nil"/>
              <w:tr2bl w:val="nil"/>
            </w:tcBorders>
            <w:shd w:val="clear" w:color="auto" w:fill="auto"/>
            <w:vAlign w:val="center"/>
          </w:tcPr>
          <w:p w14:paraId="5DE0876B">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19</w:t>
            </w:r>
          </w:p>
        </w:tc>
        <w:tc>
          <w:tcPr>
            <w:tcW w:w="2067" w:type="dxa"/>
            <w:tcBorders>
              <w:tl2br w:val="nil"/>
              <w:tr2bl w:val="nil"/>
            </w:tcBorders>
            <w:shd w:val="clear" w:color="auto" w:fill="auto"/>
            <w:vAlign w:val="center"/>
          </w:tcPr>
          <w:p w14:paraId="09B7FF8C">
            <w:pPr>
              <w:adjustRightInd w:val="0"/>
              <w:snapToGrid w:val="0"/>
              <w:jc w:val="center"/>
              <w:rPr>
                <w:rFonts w:hint="eastAsia" w:asciiTheme="minorEastAsia" w:hAnsiTheme="minorEastAsia" w:cstheme="minorEastAsia"/>
                <w:szCs w:val="21"/>
              </w:rPr>
            </w:pPr>
            <w:r>
              <w:rPr>
                <w:rFonts w:hint="eastAsia" w:asciiTheme="minorEastAsia" w:hAnsiTheme="minorEastAsia" w:cstheme="minorEastAsia"/>
                <w:color w:val="000000"/>
                <w:szCs w:val="21"/>
              </w:rPr>
              <w:t>素养立意的高中思想政治表现性任务驱动设计与评价研究</w:t>
            </w:r>
          </w:p>
        </w:tc>
        <w:tc>
          <w:tcPr>
            <w:tcW w:w="760" w:type="dxa"/>
            <w:tcBorders>
              <w:tl2br w:val="nil"/>
              <w:tr2bl w:val="nil"/>
            </w:tcBorders>
            <w:shd w:val="clear" w:color="auto" w:fill="auto"/>
            <w:vAlign w:val="center"/>
          </w:tcPr>
          <w:p w14:paraId="72D35202">
            <w:pPr>
              <w:adjustRightInd w:val="0"/>
              <w:snapToGrid w:val="0"/>
              <w:jc w:val="center"/>
              <w:rPr>
                <w:rFonts w:hint="eastAsia" w:asciiTheme="minorEastAsia" w:hAnsiTheme="minorEastAsia" w:cstheme="minorEastAsia"/>
                <w:szCs w:val="21"/>
              </w:rPr>
            </w:pPr>
            <w:r>
              <w:rPr>
                <w:rFonts w:hint="eastAsia" w:asciiTheme="minorEastAsia" w:hAnsiTheme="minorEastAsia" w:cstheme="minorEastAsia"/>
                <w:color w:val="000000"/>
                <w:szCs w:val="21"/>
              </w:rPr>
              <w:t>政治</w:t>
            </w:r>
          </w:p>
        </w:tc>
        <w:tc>
          <w:tcPr>
            <w:tcW w:w="2170" w:type="dxa"/>
            <w:tcBorders>
              <w:tl2br w:val="nil"/>
              <w:tr2bl w:val="nil"/>
            </w:tcBorders>
            <w:shd w:val="clear" w:color="auto" w:fill="auto"/>
            <w:vAlign w:val="center"/>
          </w:tcPr>
          <w:p w14:paraId="2FFE00C0">
            <w:pPr>
              <w:adjustRightInd w:val="0"/>
              <w:snapToGrid w:val="0"/>
              <w:jc w:val="center"/>
              <w:rPr>
                <w:rFonts w:hint="eastAsia" w:asciiTheme="minorEastAsia" w:hAnsiTheme="minorEastAsia" w:cstheme="minorEastAsia"/>
                <w:szCs w:val="21"/>
              </w:rPr>
            </w:pPr>
            <w:r>
              <w:rPr>
                <w:rFonts w:hint="eastAsia" w:asciiTheme="minorEastAsia" w:hAnsiTheme="minorEastAsia" w:cstheme="minorEastAsia"/>
                <w:color w:val="000000"/>
                <w:szCs w:val="21"/>
              </w:rPr>
              <w:t>无</w:t>
            </w:r>
          </w:p>
        </w:tc>
        <w:tc>
          <w:tcPr>
            <w:tcW w:w="7524" w:type="dxa"/>
            <w:tcBorders>
              <w:tl2br w:val="nil"/>
              <w:tr2bl w:val="nil"/>
            </w:tcBorders>
            <w:shd w:val="clear" w:color="auto" w:fill="auto"/>
            <w:vAlign w:val="center"/>
          </w:tcPr>
          <w:p w14:paraId="3E6FA07D">
            <w:pPr>
              <w:adjustRightInd w:val="0"/>
              <w:snapToGrid w:val="0"/>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三新背景下教学和评价应由“知识立意”“能力立意”走向“素养立意”。所谓素养是学生在真实情境中综合运用所学知识、技能完成复杂任务所表现出的品格与能力，它总是在情境中生成，通过任务外显且以综合的样态出现。因此，教师在教学和考试时，要注重考查学生在真实情境中运用学科知识发现问题、分析问题和解决问题的能力，做到“学教评一致性”。指向素养立意的表现性任务有结构性、整体性、情境性、真实性的特点，关注任务的价值导向，通过做事活动来考查学生的思维水平与探究水平。</w:t>
            </w:r>
          </w:p>
          <w:p w14:paraId="5B6CB3F9">
            <w:pPr>
              <w:adjustRightInd w:val="0"/>
              <w:snapToGrid w:val="0"/>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目前，高中教学与评价中机械训练、裸考知识、碎片化结构、肢解知识点或技能以及无应用情境现象依然存在。如何引导教师转变教学观念，适应新课标、新高考、新教材的变化，更加胜任基础教育高中思想政治课教学与评价是亟待破解的问题。</w:t>
            </w:r>
          </w:p>
          <w:p w14:paraId="74414C1E">
            <w:pPr>
              <w:adjustRightInd w:val="0"/>
              <w:snapToGrid w:val="0"/>
              <w:rPr>
                <w:rFonts w:hint="eastAsia" w:asciiTheme="minorEastAsia" w:hAnsiTheme="minorEastAsia" w:cstheme="minorEastAsia"/>
                <w:szCs w:val="21"/>
              </w:rPr>
            </w:pPr>
            <w:r>
              <w:rPr>
                <w:rFonts w:hint="eastAsia" w:asciiTheme="minorEastAsia" w:hAnsiTheme="minorEastAsia" w:cstheme="minorEastAsia"/>
                <w:color w:val="000000"/>
                <w:szCs w:val="21"/>
              </w:rPr>
              <w:t>本课题立足为学生创设真实、有效的学习情境，以问题解决为出发点，坚持学习开始于知识正在发生或正在应用的真实境况中，强调任务驱动来实现关键能力和核心素养的达成，在学习发生的过程中，通过设计有效的表现性任务，通过任务驱动学生做事解读问题，关注观念领悟的深刻性、迁移性；从评价上看，从看重学习的结果水平走向更看重学习的过程。</w:t>
            </w:r>
          </w:p>
        </w:tc>
        <w:tc>
          <w:tcPr>
            <w:tcW w:w="867" w:type="dxa"/>
            <w:tcBorders>
              <w:tl2br w:val="nil"/>
              <w:tr2bl w:val="nil"/>
            </w:tcBorders>
            <w:shd w:val="clear" w:color="auto" w:fill="auto"/>
            <w:vAlign w:val="center"/>
          </w:tcPr>
          <w:p w14:paraId="081213FC">
            <w:pPr>
              <w:adjustRightInd w:val="0"/>
              <w:snapToGrid w:val="0"/>
              <w:jc w:val="center"/>
              <w:rPr>
                <w:rFonts w:hint="eastAsia" w:asciiTheme="minorEastAsia" w:hAnsiTheme="minorEastAsia" w:cstheme="minorEastAsia"/>
                <w:szCs w:val="21"/>
              </w:rPr>
            </w:pPr>
            <w:r>
              <w:rPr>
                <w:rFonts w:hint="eastAsia" w:asciiTheme="minorEastAsia" w:hAnsiTheme="minorEastAsia" w:cstheme="minorEastAsia"/>
                <w:color w:val="000000"/>
                <w:szCs w:val="21"/>
              </w:rPr>
              <w:t>李春会</w:t>
            </w:r>
          </w:p>
        </w:tc>
      </w:tr>
      <w:tr w14:paraId="4FDC78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720" w:type="dxa"/>
            <w:tcBorders>
              <w:tl2br w:val="nil"/>
              <w:tr2bl w:val="nil"/>
            </w:tcBorders>
            <w:shd w:val="clear" w:color="auto" w:fill="auto"/>
            <w:vAlign w:val="center"/>
          </w:tcPr>
          <w:p w14:paraId="5852BAAC">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20</w:t>
            </w:r>
          </w:p>
        </w:tc>
        <w:tc>
          <w:tcPr>
            <w:tcW w:w="2067" w:type="dxa"/>
            <w:tcBorders>
              <w:tl2br w:val="nil"/>
              <w:tr2bl w:val="nil"/>
            </w:tcBorders>
            <w:shd w:val="clear" w:color="auto" w:fill="auto"/>
            <w:vAlign w:val="center"/>
          </w:tcPr>
          <w:p w14:paraId="78D04FD8">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新时代伟大实践成就融入高中思政课的理论与实践研究</w:t>
            </w:r>
          </w:p>
        </w:tc>
        <w:tc>
          <w:tcPr>
            <w:tcW w:w="760" w:type="dxa"/>
            <w:tcBorders>
              <w:tl2br w:val="nil"/>
              <w:tr2bl w:val="nil"/>
            </w:tcBorders>
            <w:shd w:val="clear" w:color="auto" w:fill="auto"/>
            <w:vAlign w:val="center"/>
          </w:tcPr>
          <w:p w14:paraId="6A93F8DE">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政治</w:t>
            </w:r>
          </w:p>
        </w:tc>
        <w:tc>
          <w:tcPr>
            <w:tcW w:w="2170" w:type="dxa"/>
            <w:tcBorders>
              <w:tl2br w:val="nil"/>
              <w:tr2bl w:val="nil"/>
            </w:tcBorders>
            <w:shd w:val="clear" w:color="auto" w:fill="auto"/>
            <w:vAlign w:val="center"/>
          </w:tcPr>
          <w:p w14:paraId="49BF4FF6">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回归与超越视角下的新时代学校劳动教育内容体系建构研究</w:t>
            </w:r>
          </w:p>
        </w:tc>
        <w:tc>
          <w:tcPr>
            <w:tcW w:w="7524" w:type="dxa"/>
            <w:tcBorders>
              <w:tl2br w:val="nil"/>
              <w:tr2bl w:val="nil"/>
            </w:tcBorders>
            <w:shd w:val="clear" w:color="auto" w:fill="auto"/>
            <w:vAlign w:val="center"/>
          </w:tcPr>
          <w:p w14:paraId="4B6B7F1C">
            <w:pPr>
              <w:adjustRightInd w:val="0"/>
              <w:snapToGrid w:val="0"/>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2022年教育部印发《关于进一步加强新时代中小学思政课建设的意见》中指出：“要充分利用新时代的伟大实践成就……形成的教育资源，丰富思政课教育内容，有机融入课堂教学。”在此政策背景下，进一步探讨新时代伟大实践成就融入高中思政课的原则遵循、融入目标、融入要求和融入过程及规律就变得迫切和必要。通过本课题的研究，将进一步提升高中思政课教学的实践面向，坚定高中生的道路自信、理论自信、制度自信、文化自信和历史自信。</w:t>
            </w:r>
          </w:p>
        </w:tc>
        <w:tc>
          <w:tcPr>
            <w:tcW w:w="867" w:type="dxa"/>
            <w:tcBorders>
              <w:tl2br w:val="nil"/>
              <w:tr2bl w:val="nil"/>
            </w:tcBorders>
            <w:shd w:val="clear" w:color="auto" w:fill="auto"/>
            <w:vAlign w:val="center"/>
          </w:tcPr>
          <w:p w14:paraId="75F840D7">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张秋辉</w:t>
            </w:r>
          </w:p>
        </w:tc>
      </w:tr>
      <w:tr w14:paraId="657FD1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720" w:type="dxa"/>
            <w:tcBorders>
              <w:tl2br w:val="nil"/>
              <w:tr2bl w:val="nil"/>
            </w:tcBorders>
            <w:shd w:val="clear" w:color="auto" w:fill="auto"/>
            <w:vAlign w:val="center"/>
          </w:tcPr>
          <w:p w14:paraId="581A1F35">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21</w:t>
            </w:r>
          </w:p>
        </w:tc>
        <w:tc>
          <w:tcPr>
            <w:tcW w:w="2067" w:type="dxa"/>
            <w:tcBorders>
              <w:tl2br w:val="nil"/>
              <w:tr2bl w:val="nil"/>
            </w:tcBorders>
            <w:shd w:val="clear" w:color="auto" w:fill="auto"/>
            <w:vAlign w:val="center"/>
          </w:tcPr>
          <w:p w14:paraId="7D2C0EEA">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中学思想政治学科“一堂好课”的核心要素、基本要求与常态化建设</w:t>
            </w:r>
          </w:p>
        </w:tc>
        <w:tc>
          <w:tcPr>
            <w:tcW w:w="760" w:type="dxa"/>
            <w:tcBorders>
              <w:tl2br w:val="nil"/>
              <w:tr2bl w:val="nil"/>
            </w:tcBorders>
            <w:shd w:val="clear" w:color="auto" w:fill="auto"/>
            <w:vAlign w:val="center"/>
          </w:tcPr>
          <w:p w14:paraId="1E451EF8">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政治</w:t>
            </w:r>
          </w:p>
        </w:tc>
        <w:tc>
          <w:tcPr>
            <w:tcW w:w="2170" w:type="dxa"/>
            <w:tcBorders>
              <w:tl2br w:val="nil"/>
              <w:tr2bl w:val="nil"/>
            </w:tcBorders>
            <w:shd w:val="clear" w:color="auto" w:fill="auto"/>
            <w:vAlign w:val="center"/>
          </w:tcPr>
          <w:p w14:paraId="5CC1E297">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高素质、专业化、创新型中学思政课卓越教师的职后培养研究</w:t>
            </w:r>
          </w:p>
        </w:tc>
        <w:tc>
          <w:tcPr>
            <w:tcW w:w="7524" w:type="dxa"/>
            <w:tcBorders>
              <w:tl2br w:val="nil"/>
              <w:tr2bl w:val="nil"/>
            </w:tcBorders>
            <w:shd w:val="clear" w:color="auto" w:fill="auto"/>
            <w:vAlign w:val="center"/>
          </w:tcPr>
          <w:p w14:paraId="151E942C">
            <w:pPr>
              <w:adjustRightInd w:val="0"/>
              <w:snapToGrid w:val="0"/>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讲好课”才能“育好人”。讲“一堂好课”是中学思政课卓越教师的根本要求。“一堂好课”的判断标准是否破解了教学中的难点和堵点，知识、思想、价值观学生是否入耳、入脑、入心。因此中学思政学科的“一堂好课”需要厘定清晰的概念边界，需要体现思政课铸魂育人的特殊要求，需要明确基本的要素构成，需要提出可供遵循的原则和要求。所谓常态化建设，意指在以上问题破解的基础上，不追求相关教学比赛中“一过式”的卓越表现，而是强调在日常教学中的贯彻、落实和有步骤实现。</w:t>
            </w:r>
          </w:p>
        </w:tc>
        <w:tc>
          <w:tcPr>
            <w:tcW w:w="867" w:type="dxa"/>
            <w:tcBorders>
              <w:tl2br w:val="nil"/>
              <w:tr2bl w:val="nil"/>
            </w:tcBorders>
            <w:shd w:val="clear" w:color="auto" w:fill="auto"/>
            <w:vAlign w:val="center"/>
          </w:tcPr>
          <w:p w14:paraId="5127233E">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张秋辉</w:t>
            </w:r>
          </w:p>
        </w:tc>
      </w:tr>
      <w:tr w14:paraId="367A0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720" w:type="dxa"/>
            <w:tcBorders>
              <w:tl2br w:val="nil"/>
              <w:tr2bl w:val="nil"/>
            </w:tcBorders>
            <w:shd w:val="clear" w:color="auto" w:fill="auto"/>
            <w:vAlign w:val="center"/>
          </w:tcPr>
          <w:p w14:paraId="739101A8">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22</w:t>
            </w:r>
          </w:p>
        </w:tc>
        <w:tc>
          <w:tcPr>
            <w:tcW w:w="2067" w:type="dxa"/>
            <w:tcBorders>
              <w:tl2br w:val="nil"/>
              <w:tr2bl w:val="nil"/>
            </w:tcBorders>
            <w:shd w:val="clear" w:color="auto" w:fill="auto"/>
            <w:vAlign w:val="center"/>
          </w:tcPr>
          <w:p w14:paraId="1CF96E70">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核心素养导向的思想政治作业设计研究</w:t>
            </w:r>
          </w:p>
        </w:tc>
        <w:tc>
          <w:tcPr>
            <w:tcW w:w="760" w:type="dxa"/>
            <w:tcBorders>
              <w:tl2br w:val="nil"/>
              <w:tr2bl w:val="nil"/>
            </w:tcBorders>
            <w:shd w:val="clear" w:color="auto" w:fill="auto"/>
            <w:vAlign w:val="center"/>
          </w:tcPr>
          <w:p w14:paraId="280E8173">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政治</w:t>
            </w:r>
          </w:p>
        </w:tc>
        <w:tc>
          <w:tcPr>
            <w:tcW w:w="2170" w:type="dxa"/>
            <w:tcBorders>
              <w:tl2br w:val="nil"/>
              <w:tr2bl w:val="nil"/>
            </w:tcBorders>
            <w:shd w:val="clear" w:color="auto" w:fill="auto"/>
            <w:vAlign w:val="center"/>
          </w:tcPr>
          <w:p w14:paraId="4F88EC8C">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无</w:t>
            </w:r>
          </w:p>
        </w:tc>
        <w:tc>
          <w:tcPr>
            <w:tcW w:w="7524" w:type="dxa"/>
            <w:tcBorders>
              <w:tl2br w:val="nil"/>
              <w:tr2bl w:val="nil"/>
            </w:tcBorders>
            <w:shd w:val="clear" w:color="auto" w:fill="auto"/>
            <w:vAlign w:val="center"/>
          </w:tcPr>
          <w:p w14:paraId="52E7938B">
            <w:pPr>
              <w:adjustRightInd w:val="0"/>
              <w:snapToGrid w:val="0"/>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作业是学校教学工作的重要环节，是课堂活动的必要补充。作业过程，实际上是从有教师指导的课堂教学，过渡到没有教师指导的学生自主学习的过程，对学生的学习兴趣、元认知能力、自主学习能力、自我复原力、自控力、专注力、时间管理等素养提出了一系列要求。因此，作业是培养学生相关核心素养发展的重要手段，而不能仅仅窄化为知识技能的巩固。针对教师在作业设计中容易出现类型单一、机械重复练习居多、指向学生素养内容缺失等痛点问题，如何设计出符合年龄特点、学科特点、学习规律、类型多样、体现素养教育导向的高质量思想政治作业是本课题力图破解的核心问题。</w:t>
            </w:r>
          </w:p>
        </w:tc>
        <w:tc>
          <w:tcPr>
            <w:tcW w:w="867" w:type="dxa"/>
            <w:tcBorders>
              <w:tl2br w:val="nil"/>
              <w:tr2bl w:val="nil"/>
            </w:tcBorders>
            <w:shd w:val="clear" w:color="auto" w:fill="auto"/>
            <w:vAlign w:val="center"/>
          </w:tcPr>
          <w:p w14:paraId="19142FCA">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徐海娇</w:t>
            </w:r>
          </w:p>
        </w:tc>
      </w:tr>
      <w:tr w14:paraId="072FDA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720" w:type="dxa"/>
            <w:tcBorders>
              <w:tl2br w:val="nil"/>
              <w:tr2bl w:val="nil"/>
            </w:tcBorders>
            <w:shd w:val="clear" w:color="auto" w:fill="auto"/>
            <w:vAlign w:val="center"/>
          </w:tcPr>
          <w:p w14:paraId="029BCECE">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23</w:t>
            </w:r>
          </w:p>
        </w:tc>
        <w:tc>
          <w:tcPr>
            <w:tcW w:w="2067" w:type="dxa"/>
            <w:tcBorders>
              <w:tl2br w:val="nil"/>
              <w:tr2bl w:val="nil"/>
            </w:tcBorders>
            <w:shd w:val="clear" w:color="auto" w:fill="auto"/>
            <w:vAlign w:val="center"/>
          </w:tcPr>
          <w:p w14:paraId="2E596DDC">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中学历史教学中以经典阅读弘扬中华优秀传统文化的实施策略</w:t>
            </w:r>
          </w:p>
        </w:tc>
        <w:tc>
          <w:tcPr>
            <w:tcW w:w="760" w:type="dxa"/>
            <w:tcBorders>
              <w:tl2br w:val="nil"/>
              <w:tr2bl w:val="nil"/>
            </w:tcBorders>
            <w:shd w:val="clear" w:color="auto" w:fill="auto"/>
            <w:vAlign w:val="center"/>
          </w:tcPr>
          <w:p w14:paraId="37D84D2B">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历史</w:t>
            </w:r>
          </w:p>
        </w:tc>
        <w:tc>
          <w:tcPr>
            <w:tcW w:w="2170" w:type="dxa"/>
            <w:tcBorders>
              <w:tl2br w:val="nil"/>
              <w:tr2bl w:val="nil"/>
            </w:tcBorders>
            <w:shd w:val="clear" w:color="auto" w:fill="auto"/>
            <w:vAlign w:val="center"/>
          </w:tcPr>
          <w:p w14:paraId="0015369A">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无</w:t>
            </w:r>
          </w:p>
        </w:tc>
        <w:tc>
          <w:tcPr>
            <w:tcW w:w="7524" w:type="dxa"/>
            <w:tcBorders>
              <w:tl2br w:val="nil"/>
              <w:tr2bl w:val="nil"/>
            </w:tcBorders>
            <w:shd w:val="clear" w:color="auto" w:fill="auto"/>
            <w:vAlign w:val="center"/>
          </w:tcPr>
          <w:p w14:paraId="48DC6C77">
            <w:pPr>
              <w:adjustRightInd w:val="0"/>
              <w:snapToGrid w:val="0"/>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弘扬中华优秀传统文化是中学生历史知识体系建构的内在要求，也是贯彻落实立德树人根本任务的题中之义。关于在中学历史教学中弘扬中华优秀传统文化的重要意义及教学内容、教学方式的设计，目前已有较为充分的研究，在教学内容的设定、教学氛围的营造及教学评价的优化等方面均已出现了很好的研究成果，并已实现了相应的教学实践转化。但是，由于学生知识结构、教学评价机制等方面的原因，中学历史教学中存在着重知识传授、轻文本阅读的倾向。这种教学方式虽然可以帮助学生快速形成关于历史演进的宏观认识，但弱化了学生具体史实知识的学习与积累。在这一教学过程中，学生更多的是在被动地接受知识，学习的主动性没有得到充分展开。而通过强化学生的经典阅读，则不仅可以提升学生学习的主动性，让他们自主地探究历史知识，形成丰富的知识积累，还可以在阅读过程中直接感受到文本的魅力，进而对中华优秀传统文化产生自觉的认同，进而厚植家国情怀。可见，在中学历史教学中引导学生进行自主的经典阅读，不仅能够激发学生的历史知识学习兴趣、帮助他们形成合理的历史知识结构，而且也是弘扬中华优秀传统文化的重要实施路径。</w:t>
            </w:r>
          </w:p>
        </w:tc>
        <w:tc>
          <w:tcPr>
            <w:tcW w:w="867" w:type="dxa"/>
            <w:tcBorders>
              <w:tl2br w:val="nil"/>
              <w:tr2bl w:val="nil"/>
            </w:tcBorders>
            <w:shd w:val="clear" w:color="auto" w:fill="auto"/>
            <w:vAlign w:val="center"/>
          </w:tcPr>
          <w:p w14:paraId="4B39E5C0">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杨鑫</w:t>
            </w:r>
          </w:p>
        </w:tc>
      </w:tr>
      <w:tr w14:paraId="0CB868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720" w:type="dxa"/>
            <w:tcBorders>
              <w:tl2br w:val="nil"/>
              <w:tr2bl w:val="nil"/>
            </w:tcBorders>
            <w:shd w:val="clear" w:color="auto" w:fill="auto"/>
            <w:vAlign w:val="center"/>
          </w:tcPr>
          <w:p w14:paraId="51CC323B">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24</w:t>
            </w:r>
          </w:p>
        </w:tc>
        <w:tc>
          <w:tcPr>
            <w:tcW w:w="2067" w:type="dxa"/>
            <w:tcBorders>
              <w:tl2br w:val="nil"/>
              <w:tr2bl w:val="nil"/>
            </w:tcBorders>
            <w:shd w:val="clear" w:color="auto" w:fill="auto"/>
            <w:vAlign w:val="center"/>
          </w:tcPr>
          <w:p w14:paraId="21AFECA8">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“五史”教育进中学</w:t>
            </w:r>
          </w:p>
        </w:tc>
        <w:tc>
          <w:tcPr>
            <w:tcW w:w="760" w:type="dxa"/>
            <w:tcBorders>
              <w:tl2br w:val="nil"/>
              <w:tr2bl w:val="nil"/>
            </w:tcBorders>
            <w:shd w:val="clear" w:color="auto" w:fill="auto"/>
            <w:vAlign w:val="center"/>
          </w:tcPr>
          <w:p w14:paraId="7516C018">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历史</w:t>
            </w:r>
          </w:p>
        </w:tc>
        <w:tc>
          <w:tcPr>
            <w:tcW w:w="2170" w:type="dxa"/>
            <w:tcBorders>
              <w:tl2br w:val="nil"/>
              <w:tr2bl w:val="nil"/>
            </w:tcBorders>
            <w:shd w:val="clear" w:color="auto" w:fill="auto"/>
            <w:vAlign w:val="center"/>
          </w:tcPr>
          <w:p w14:paraId="04D45B79">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“五史”纳入中学历史教学的必要性与可行性路径探究</w:t>
            </w:r>
          </w:p>
        </w:tc>
        <w:tc>
          <w:tcPr>
            <w:tcW w:w="7524" w:type="dxa"/>
            <w:tcBorders>
              <w:tl2br w:val="nil"/>
              <w:tr2bl w:val="nil"/>
            </w:tcBorders>
            <w:shd w:val="clear" w:color="auto" w:fill="auto"/>
            <w:vAlign w:val="center"/>
          </w:tcPr>
          <w:p w14:paraId="61C5E315">
            <w:pPr>
              <w:adjustRightInd w:val="0"/>
              <w:snapToGrid w:val="0"/>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面临新的历史方位，站在新的发展阶段，习近平总书记提出一系列“五史”教育的重要论述。“五史”是指党史、新中国史、改革开放史、社会主义发展史、中华民族发展史。2021、2024年，人民出版社、高等教育出版社先后出版“四史”和《中华民族共同体概论》，为“五史”教育进中学奠定了教材基础。课题组成员已有前期研究基础，即《“四史”教育融入中学历史教学的路径研究》（《中学历史教学参考》2021年第17期，本文被《人大复印报刊资料·中学历史、地理教与学》2022年第3期转载）。中学历史学科作为家国情怀和人文素养教育的重要阵地，承担着教育引导、价值引领的重要职责。把“五史”教育融入中学历史课程，既是适应时代潮流、响应国家号召、培养少年人才的政治需求，又是中学历史教育内容的极大创新，蕴含丰富的价值旨趣。因此，中学要积极推动“五史”专业教育与政治素质教育的深度融合，通过提升教师史学修养、培育学生国史素养、树立正确的党史观、营造关怀现实的课堂氛围等多种方式深化“五史”与中学历史教育的融合，以“五史”思想体系弥补当前中学历史教学“知古不知今，知外不知内”的不足之处，从而让青少年更自觉地服务于国家的未来发展。</w:t>
            </w:r>
          </w:p>
        </w:tc>
        <w:tc>
          <w:tcPr>
            <w:tcW w:w="867" w:type="dxa"/>
            <w:tcBorders>
              <w:tl2br w:val="nil"/>
              <w:tr2bl w:val="nil"/>
            </w:tcBorders>
            <w:shd w:val="clear" w:color="auto" w:fill="auto"/>
            <w:vAlign w:val="center"/>
          </w:tcPr>
          <w:p w14:paraId="7FA58A52">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孙志鹏</w:t>
            </w:r>
          </w:p>
        </w:tc>
      </w:tr>
      <w:tr w14:paraId="3C0906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720" w:type="dxa"/>
            <w:tcBorders>
              <w:tl2br w:val="nil"/>
              <w:tr2bl w:val="nil"/>
            </w:tcBorders>
            <w:shd w:val="clear" w:color="auto" w:fill="auto"/>
            <w:vAlign w:val="center"/>
          </w:tcPr>
          <w:p w14:paraId="19A0C632">
            <w:pPr>
              <w:adjustRightInd w:val="0"/>
              <w:snapToGrid w:val="0"/>
              <w:jc w:val="center"/>
              <w:rPr>
                <w:rFonts w:hint="eastAsia" w:asciiTheme="minorEastAsia" w:hAnsiTheme="minorEastAsia" w:cstheme="minorEastAsia"/>
                <w:szCs w:val="21"/>
              </w:rPr>
            </w:pPr>
            <w:r>
              <w:rPr>
                <w:rFonts w:hint="eastAsia" w:asciiTheme="minorEastAsia" w:hAnsiTheme="minorEastAsia" w:cstheme="minorEastAsia"/>
                <w:szCs w:val="21"/>
              </w:rPr>
              <w:t>25</w:t>
            </w:r>
          </w:p>
        </w:tc>
        <w:tc>
          <w:tcPr>
            <w:tcW w:w="2067" w:type="dxa"/>
            <w:tcBorders>
              <w:tl2br w:val="nil"/>
              <w:tr2bl w:val="nil"/>
            </w:tcBorders>
            <w:shd w:val="clear" w:color="auto" w:fill="auto"/>
            <w:vAlign w:val="center"/>
          </w:tcPr>
          <w:p w14:paraId="47E0318C">
            <w:pPr>
              <w:adjustRightInd w:val="0"/>
              <w:snapToGrid w:val="0"/>
              <w:jc w:val="center"/>
              <w:rPr>
                <w:rFonts w:hint="eastAsia" w:asciiTheme="minorEastAsia" w:hAnsiTheme="minorEastAsia" w:cstheme="minorEastAsia"/>
                <w:szCs w:val="21"/>
              </w:rPr>
            </w:pPr>
            <w:r>
              <w:rPr>
                <w:rFonts w:hint="eastAsia" w:asciiTheme="minorEastAsia" w:hAnsiTheme="minorEastAsia" w:cstheme="minorEastAsia"/>
                <w:szCs w:val="21"/>
              </w:rPr>
              <w:t>新高考背景下不同选科模式学生地理学习差异及教学对策研究</w:t>
            </w:r>
          </w:p>
        </w:tc>
        <w:tc>
          <w:tcPr>
            <w:tcW w:w="760" w:type="dxa"/>
            <w:tcBorders>
              <w:tl2br w:val="nil"/>
              <w:tr2bl w:val="nil"/>
            </w:tcBorders>
            <w:shd w:val="clear" w:color="auto" w:fill="auto"/>
            <w:vAlign w:val="center"/>
          </w:tcPr>
          <w:p w14:paraId="7ED9A956">
            <w:pPr>
              <w:adjustRightInd w:val="0"/>
              <w:snapToGrid w:val="0"/>
              <w:jc w:val="center"/>
              <w:rPr>
                <w:rFonts w:hint="eastAsia" w:asciiTheme="minorEastAsia" w:hAnsiTheme="minorEastAsia" w:cstheme="minorEastAsia"/>
                <w:szCs w:val="21"/>
              </w:rPr>
            </w:pPr>
            <w:r>
              <w:rPr>
                <w:rFonts w:hint="eastAsia" w:asciiTheme="minorEastAsia" w:hAnsiTheme="minorEastAsia" w:cstheme="minorEastAsia"/>
                <w:color w:val="000000"/>
                <w:szCs w:val="21"/>
              </w:rPr>
              <w:t>地理</w:t>
            </w:r>
          </w:p>
        </w:tc>
        <w:tc>
          <w:tcPr>
            <w:tcW w:w="2170" w:type="dxa"/>
            <w:tcBorders>
              <w:tl2br w:val="nil"/>
              <w:tr2bl w:val="nil"/>
            </w:tcBorders>
            <w:shd w:val="clear" w:color="auto" w:fill="auto"/>
            <w:vAlign w:val="center"/>
          </w:tcPr>
          <w:p w14:paraId="7F425481">
            <w:pPr>
              <w:adjustRightInd w:val="0"/>
              <w:snapToGrid w:val="0"/>
              <w:jc w:val="center"/>
              <w:rPr>
                <w:rFonts w:hint="eastAsia" w:asciiTheme="minorEastAsia" w:hAnsiTheme="minorEastAsia" w:cstheme="minorEastAsia"/>
                <w:szCs w:val="21"/>
              </w:rPr>
            </w:pPr>
            <w:r>
              <w:rPr>
                <w:rFonts w:hint="eastAsia" w:asciiTheme="minorEastAsia" w:hAnsiTheme="minorEastAsia" w:cstheme="minorEastAsia"/>
                <w:szCs w:val="21"/>
              </w:rPr>
              <w:t>新高考背景下不同选科模式学生学习差异及教学对策研究</w:t>
            </w:r>
          </w:p>
        </w:tc>
        <w:tc>
          <w:tcPr>
            <w:tcW w:w="7524" w:type="dxa"/>
            <w:tcBorders>
              <w:tl2br w:val="nil"/>
              <w:tr2bl w:val="nil"/>
            </w:tcBorders>
            <w:shd w:val="clear" w:color="auto" w:fill="auto"/>
            <w:vAlign w:val="center"/>
          </w:tcPr>
          <w:p w14:paraId="2EB0DA44">
            <w:pPr>
              <w:adjustRightInd w:val="0"/>
              <w:snapToGrid w:val="0"/>
              <w:rPr>
                <w:rFonts w:hint="eastAsia" w:asciiTheme="minorEastAsia" w:hAnsiTheme="minorEastAsia" w:cstheme="minorEastAsia"/>
                <w:color w:val="000000"/>
                <w:szCs w:val="21"/>
              </w:rPr>
            </w:pPr>
            <w:r>
              <w:rPr>
                <w:rFonts w:hint="eastAsia" w:asciiTheme="minorEastAsia" w:hAnsiTheme="minorEastAsia" w:cstheme="minorEastAsia"/>
                <w:szCs w:val="21"/>
              </w:rPr>
              <w:t>吉林省2024年首次进入新高考，对高中地理教学带来了很大的挑战，地理学科除了原有的“政治+历史+地理”组合模式外，出现了“物理+化学+地理”等5种新组合模式。而当前对高考下选科的研究多是停留于理论上，大样本的实证调研不多。从研究的层次上看，多数研究是从宏观层次去分析整体选科的情况、影响因素，对于落实到单一选科及选科后教学的影响缺乏深入分析，尤其对各选考学科间的影响关注不多。从研究的内容上看，多数研究是针对第一批和第二批新高考模式下的选科走班研究，落实到“3+1+2”模式下各个学科学习情况的研究较少。从研究的视角看，以教师视角下为主，过多关注学生知识背景，缺少对学生认知风格、选科动机等差异的客观分析；从研究的关注点看，过于注重成绩，忽视对影响各科目学习的因素以及教学过程的分析。为此，拟以实验区学校的不同组合下的地理教学为研究对象，系统研究不同选科模式下学生的地理学习差异，进而提出针对不同选科模式的地理教学策略，为一线教师进行差异教学提供借鉴和参考。</w:t>
            </w:r>
          </w:p>
        </w:tc>
        <w:tc>
          <w:tcPr>
            <w:tcW w:w="867" w:type="dxa"/>
            <w:tcBorders>
              <w:tl2br w:val="nil"/>
              <w:tr2bl w:val="nil"/>
            </w:tcBorders>
            <w:shd w:val="clear" w:color="auto" w:fill="auto"/>
            <w:vAlign w:val="center"/>
          </w:tcPr>
          <w:p w14:paraId="51B230DA">
            <w:pPr>
              <w:adjustRightInd w:val="0"/>
              <w:snapToGrid w:val="0"/>
              <w:jc w:val="center"/>
              <w:rPr>
                <w:rFonts w:hint="eastAsia" w:asciiTheme="minorEastAsia" w:hAnsiTheme="minorEastAsia" w:cstheme="minorEastAsia"/>
                <w:szCs w:val="21"/>
              </w:rPr>
            </w:pPr>
            <w:r>
              <w:rPr>
                <w:rFonts w:hint="eastAsia" w:asciiTheme="minorEastAsia" w:hAnsiTheme="minorEastAsia" w:cstheme="minorEastAsia"/>
                <w:color w:val="000000"/>
                <w:szCs w:val="21"/>
              </w:rPr>
              <w:t>娄晓黎</w:t>
            </w:r>
          </w:p>
        </w:tc>
      </w:tr>
      <w:tr w14:paraId="3AEF1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8" w:hRule="atLeast"/>
          <w:jc w:val="center"/>
        </w:trPr>
        <w:tc>
          <w:tcPr>
            <w:tcW w:w="720" w:type="dxa"/>
            <w:tcBorders>
              <w:tl2br w:val="nil"/>
              <w:tr2bl w:val="nil"/>
            </w:tcBorders>
            <w:shd w:val="clear" w:color="auto" w:fill="auto"/>
            <w:vAlign w:val="center"/>
          </w:tcPr>
          <w:p w14:paraId="41452E11">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26</w:t>
            </w:r>
          </w:p>
        </w:tc>
        <w:tc>
          <w:tcPr>
            <w:tcW w:w="2067" w:type="dxa"/>
            <w:tcBorders>
              <w:tl2br w:val="nil"/>
              <w:tr2bl w:val="nil"/>
            </w:tcBorders>
            <w:shd w:val="clear" w:color="auto" w:fill="auto"/>
            <w:vAlign w:val="center"/>
          </w:tcPr>
          <w:p w14:paraId="160522B0">
            <w:pPr>
              <w:adjustRightInd w:val="0"/>
              <w:snapToGrid w:val="0"/>
              <w:jc w:val="center"/>
              <w:rPr>
                <w:rFonts w:hint="eastAsia" w:asciiTheme="minorEastAsia" w:hAnsiTheme="minorEastAsia" w:cstheme="minorEastAsia"/>
                <w:szCs w:val="21"/>
              </w:rPr>
            </w:pPr>
            <w:r>
              <w:rPr>
                <w:rFonts w:hint="eastAsia" w:asciiTheme="minorEastAsia" w:hAnsiTheme="minorEastAsia" w:cstheme="minorEastAsia"/>
                <w:szCs w:val="21"/>
              </w:rPr>
              <w:t>指向地理核心素养培养的初中地理新教材使用现状调查</w:t>
            </w:r>
          </w:p>
        </w:tc>
        <w:tc>
          <w:tcPr>
            <w:tcW w:w="760" w:type="dxa"/>
            <w:tcBorders>
              <w:tl2br w:val="nil"/>
              <w:tr2bl w:val="nil"/>
            </w:tcBorders>
            <w:shd w:val="clear" w:color="auto" w:fill="auto"/>
            <w:vAlign w:val="center"/>
          </w:tcPr>
          <w:p w14:paraId="5E106B9D">
            <w:pPr>
              <w:adjustRightInd w:val="0"/>
              <w:snapToGrid w:val="0"/>
              <w:jc w:val="center"/>
              <w:rPr>
                <w:rFonts w:hint="eastAsia" w:asciiTheme="minorEastAsia" w:hAnsiTheme="minorEastAsia" w:cstheme="minorEastAsia"/>
                <w:szCs w:val="21"/>
              </w:rPr>
            </w:pPr>
            <w:r>
              <w:rPr>
                <w:rFonts w:hint="eastAsia" w:asciiTheme="minorEastAsia" w:hAnsiTheme="minorEastAsia" w:cstheme="minorEastAsia"/>
                <w:szCs w:val="21"/>
              </w:rPr>
              <w:t>地理</w:t>
            </w:r>
          </w:p>
        </w:tc>
        <w:tc>
          <w:tcPr>
            <w:tcW w:w="2170" w:type="dxa"/>
            <w:tcBorders>
              <w:tl2br w:val="nil"/>
              <w:tr2bl w:val="nil"/>
            </w:tcBorders>
            <w:shd w:val="clear" w:color="auto" w:fill="auto"/>
            <w:vAlign w:val="center"/>
          </w:tcPr>
          <w:p w14:paraId="36FD5049">
            <w:pPr>
              <w:adjustRightInd w:val="0"/>
              <w:snapToGrid w:val="0"/>
              <w:jc w:val="center"/>
              <w:rPr>
                <w:rFonts w:hint="eastAsia" w:asciiTheme="minorEastAsia" w:hAnsiTheme="minorEastAsia" w:cstheme="minorEastAsia"/>
                <w:szCs w:val="21"/>
              </w:rPr>
            </w:pPr>
            <w:r>
              <w:rPr>
                <w:rFonts w:hint="eastAsia" w:asciiTheme="minorEastAsia" w:hAnsiTheme="minorEastAsia" w:cstheme="minorEastAsia"/>
                <w:szCs w:val="21"/>
              </w:rPr>
              <w:t>无</w:t>
            </w:r>
          </w:p>
        </w:tc>
        <w:tc>
          <w:tcPr>
            <w:tcW w:w="7524" w:type="dxa"/>
            <w:tcBorders>
              <w:tl2br w:val="nil"/>
              <w:tr2bl w:val="nil"/>
            </w:tcBorders>
            <w:shd w:val="clear" w:color="auto" w:fill="auto"/>
            <w:vAlign w:val="center"/>
          </w:tcPr>
          <w:p w14:paraId="2EFDC9BA">
            <w:pPr>
              <w:adjustRightInd w:val="0"/>
              <w:snapToGrid w:val="0"/>
              <w:rPr>
                <w:rFonts w:hint="eastAsia" w:asciiTheme="minorEastAsia" w:hAnsiTheme="minorEastAsia" w:cstheme="minorEastAsia"/>
                <w:szCs w:val="21"/>
              </w:rPr>
            </w:pPr>
            <w:r>
              <w:rPr>
                <w:rFonts w:hint="eastAsia" w:asciiTheme="minorEastAsia" w:hAnsiTheme="minorEastAsia" w:cstheme="minorEastAsia"/>
                <w:szCs w:val="21"/>
              </w:rPr>
              <w:t>初中地理新教材将于2024年秋季开始推广使用，这是针对新课标发行的新教材。新课标明确提出培养学生的地理核心素养。这对初中地理教师来讲是一个非常大的挑战。本研究旨在采用课堂观察法、访谈法以及文本分析法等对初中地理教师在教科书使用过程中对地理核心素养的落实情况进行研究，并针对存在问题提出合理使用教科书进行核心素养培养的建议。</w:t>
            </w:r>
          </w:p>
        </w:tc>
        <w:tc>
          <w:tcPr>
            <w:tcW w:w="867" w:type="dxa"/>
            <w:tcBorders>
              <w:tl2br w:val="nil"/>
              <w:tr2bl w:val="nil"/>
            </w:tcBorders>
            <w:shd w:val="clear" w:color="auto" w:fill="auto"/>
            <w:vAlign w:val="center"/>
          </w:tcPr>
          <w:p w14:paraId="5930A9CE">
            <w:pPr>
              <w:adjustRightInd w:val="0"/>
              <w:snapToGrid w:val="0"/>
              <w:jc w:val="center"/>
              <w:rPr>
                <w:rFonts w:hint="eastAsia" w:asciiTheme="minorEastAsia" w:hAnsiTheme="minorEastAsia" w:cstheme="minorEastAsia"/>
                <w:szCs w:val="21"/>
              </w:rPr>
            </w:pPr>
            <w:r>
              <w:rPr>
                <w:rFonts w:hint="eastAsia" w:asciiTheme="minorEastAsia" w:hAnsiTheme="minorEastAsia" w:cstheme="minorEastAsia"/>
                <w:szCs w:val="21"/>
              </w:rPr>
              <w:t>娄晓黎</w:t>
            </w:r>
          </w:p>
        </w:tc>
      </w:tr>
      <w:tr w14:paraId="5FF981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720" w:type="dxa"/>
            <w:tcBorders>
              <w:tl2br w:val="nil"/>
              <w:tr2bl w:val="nil"/>
            </w:tcBorders>
            <w:shd w:val="clear" w:color="auto" w:fill="auto"/>
            <w:vAlign w:val="center"/>
          </w:tcPr>
          <w:p w14:paraId="0160D263">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27</w:t>
            </w:r>
          </w:p>
        </w:tc>
        <w:tc>
          <w:tcPr>
            <w:tcW w:w="2067" w:type="dxa"/>
            <w:tcBorders>
              <w:tl2br w:val="nil"/>
              <w:tr2bl w:val="nil"/>
            </w:tcBorders>
            <w:shd w:val="clear" w:color="auto" w:fill="auto"/>
            <w:vAlign w:val="center"/>
          </w:tcPr>
          <w:p w14:paraId="7A73D3E3">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szCs w:val="21"/>
              </w:rPr>
              <w:t>高中地理教师地理学科理解水平调查</w:t>
            </w:r>
          </w:p>
        </w:tc>
        <w:tc>
          <w:tcPr>
            <w:tcW w:w="760" w:type="dxa"/>
            <w:tcBorders>
              <w:tl2br w:val="nil"/>
              <w:tr2bl w:val="nil"/>
            </w:tcBorders>
            <w:shd w:val="clear" w:color="auto" w:fill="auto"/>
            <w:vAlign w:val="center"/>
          </w:tcPr>
          <w:p w14:paraId="4894A6F3">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szCs w:val="21"/>
              </w:rPr>
              <w:t>地理</w:t>
            </w:r>
          </w:p>
        </w:tc>
        <w:tc>
          <w:tcPr>
            <w:tcW w:w="2170" w:type="dxa"/>
            <w:tcBorders>
              <w:tl2br w:val="nil"/>
              <w:tr2bl w:val="nil"/>
            </w:tcBorders>
            <w:shd w:val="clear" w:color="auto" w:fill="auto"/>
            <w:vAlign w:val="center"/>
          </w:tcPr>
          <w:p w14:paraId="09D5847C">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szCs w:val="21"/>
              </w:rPr>
              <w:t>无</w:t>
            </w:r>
          </w:p>
        </w:tc>
        <w:tc>
          <w:tcPr>
            <w:tcW w:w="7524" w:type="dxa"/>
            <w:tcBorders>
              <w:tl2br w:val="nil"/>
              <w:tr2bl w:val="nil"/>
            </w:tcBorders>
            <w:shd w:val="clear" w:color="auto" w:fill="auto"/>
            <w:vAlign w:val="center"/>
          </w:tcPr>
          <w:p w14:paraId="5F48321B">
            <w:pPr>
              <w:adjustRightInd w:val="0"/>
              <w:snapToGrid w:val="0"/>
              <w:rPr>
                <w:rFonts w:hint="eastAsia" w:asciiTheme="minorEastAsia" w:hAnsiTheme="minorEastAsia" w:cstheme="minorEastAsia"/>
                <w:color w:val="000000"/>
                <w:szCs w:val="21"/>
              </w:rPr>
            </w:pPr>
            <w:r>
              <w:rPr>
                <w:rFonts w:hint="eastAsia" w:asciiTheme="minorEastAsia" w:hAnsiTheme="minorEastAsia" w:cstheme="minorEastAsia"/>
                <w:szCs w:val="21"/>
              </w:rPr>
              <w:t>研究表明，教师的学科理解水平对教学效率具有十分重要的影响。地理学科具有鲜明的综合性特点，内容包罗万象，跨自然与人文两大学科。但是，地理教师在接受地理学科教育的过程中又缺乏连续性，其学科理解水平与其他学科教师相比有所欠缺。可见，诊断高中地理教师地理学科理解水平、教学认知误区等，对从根本上提高地理教学质量，促进地理核心素养培养是具有重大的现实意。本研究拟在专家咨询基础上研发测量工具，进而运用测量工具选取高中地理教师进行测试，发现普遍性问题，最后进行校正。</w:t>
            </w:r>
          </w:p>
        </w:tc>
        <w:tc>
          <w:tcPr>
            <w:tcW w:w="867" w:type="dxa"/>
            <w:tcBorders>
              <w:tl2br w:val="nil"/>
              <w:tr2bl w:val="nil"/>
            </w:tcBorders>
            <w:shd w:val="clear" w:color="auto" w:fill="auto"/>
            <w:vAlign w:val="center"/>
          </w:tcPr>
          <w:p w14:paraId="6FB72453">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szCs w:val="21"/>
              </w:rPr>
              <w:t>娄晓黎</w:t>
            </w:r>
          </w:p>
        </w:tc>
      </w:tr>
      <w:tr w14:paraId="5EEB1A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720" w:type="dxa"/>
            <w:tcBorders>
              <w:tl2br w:val="nil"/>
              <w:tr2bl w:val="nil"/>
            </w:tcBorders>
            <w:shd w:val="clear" w:color="auto" w:fill="auto"/>
            <w:vAlign w:val="center"/>
          </w:tcPr>
          <w:p w14:paraId="01E18E30">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28</w:t>
            </w:r>
          </w:p>
        </w:tc>
        <w:tc>
          <w:tcPr>
            <w:tcW w:w="2067" w:type="dxa"/>
            <w:tcBorders>
              <w:tl2br w:val="nil"/>
              <w:tr2bl w:val="nil"/>
            </w:tcBorders>
            <w:shd w:val="clear" w:color="auto" w:fill="auto"/>
            <w:vAlign w:val="center"/>
          </w:tcPr>
          <w:p w14:paraId="4518718C">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基于学科思想方法的中学地理深度教学模式与实践研究</w:t>
            </w:r>
          </w:p>
        </w:tc>
        <w:tc>
          <w:tcPr>
            <w:tcW w:w="760" w:type="dxa"/>
            <w:tcBorders>
              <w:tl2br w:val="nil"/>
              <w:tr2bl w:val="nil"/>
            </w:tcBorders>
            <w:shd w:val="clear" w:color="auto" w:fill="auto"/>
            <w:vAlign w:val="center"/>
          </w:tcPr>
          <w:p w14:paraId="55C8E4D9">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地理</w:t>
            </w:r>
          </w:p>
        </w:tc>
        <w:tc>
          <w:tcPr>
            <w:tcW w:w="2170" w:type="dxa"/>
            <w:tcBorders>
              <w:tl2br w:val="nil"/>
              <w:tr2bl w:val="nil"/>
            </w:tcBorders>
            <w:shd w:val="clear" w:color="auto" w:fill="auto"/>
            <w:vAlign w:val="center"/>
          </w:tcPr>
          <w:p w14:paraId="17003346">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初中地理骨干教师素养提升项目</w:t>
            </w:r>
          </w:p>
        </w:tc>
        <w:tc>
          <w:tcPr>
            <w:tcW w:w="7524" w:type="dxa"/>
            <w:tcBorders>
              <w:tl2br w:val="nil"/>
              <w:tr2bl w:val="nil"/>
            </w:tcBorders>
            <w:shd w:val="clear" w:color="auto" w:fill="auto"/>
            <w:vAlign w:val="center"/>
          </w:tcPr>
          <w:p w14:paraId="7DBBC11E">
            <w:pPr>
              <w:adjustRightInd w:val="0"/>
              <w:snapToGrid w:val="0"/>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新一轮课程改革以核心素养为DNA，其中，学科思想方法是关键抓手。同时，从深度学习走向深度教学，基于地理思想方法，提出有深度的课程与教学问题，更加有助于驱动中学地理教学质量提升。推荐人目前围绕“基于学科思想方法的中学地理深度教学研究”，已发表论文多篇，并被人大报刊复印资料全文转载9篇。相关研究成果正在“初中地理骨干教师素养提升项目”中开展实践验证，其良好效果有必要进一步推广和深化研究。但是，目前基于学科思想方法的中学地理深度教学模式还不成体系，与实践案例丰富度还不够，有必要在实验区扎根一线，继续完善理论模式构建与实践案例库集锦研究，通过深度教学促发学生深度学习，提升课堂教学质量，带动实验区地理教师素养进阶，助力实验区建设提质增效。</w:t>
            </w:r>
          </w:p>
        </w:tc>
        <w:tc>
          <w:tcPr>
            <w:tcW w:w="867" w:type="dxa"/>
            <w:tcBorders>
              <w:tl2br w:val="nil"/>
              <w:tr2bl w:val="nil"/>
            </w:tcBorders>
            <w:shd w:val="clear" w:color="auto" w:fill="auto"/>
            <w:vAlign w:val="center"/>
          </w:tcPr>
          <w:p w14:paraId="26ECA10C">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丁继昭</w:t>
            </w:r>
          </w:p>
        </w:tc>
      </w:tr>
      <w:tr w14:paraId="2DE282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0" w:type="dxa"/>
            <w:tcBorders>
              <w:tl2br w:val="nil"/>
              <w:tr2bl w:val="nil"/>
            </w:tcBorders>
            <w:shd w:val="clear" w:color="auto" w:fill="auto"/>
            <w:vAlign w:val="center"/>
          </w:tcPr>
          <w:p w14:paraId="7C6A7BF0">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29</w:t>
            </w:r>
          </w:p>
        </w:tc>
        <w:tc>
          <w:tcPr>
            <w:tcW w:w="2067" w:type="dxa"/>
            <w:tcBorders>
              <w:tl2br w:val="nil"/>
              <w:tr2bl w:val="nil"/>
            </w:tcBorders>
            <w:shd w:val="clear" w:color="auto" w:fill="auto"/>
            <w:vAlign w:val="center"/>
          </w:tcPr>
          <w:p w14:paraId="1C21AF62">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中国式现代化背景下推进生态文明素养培育的高中跨学科教学主题设计与实施研究</w:t>
            </w:r>
          </w:p>
        </w:tc>
        <w:tc>
          <w:tcPr>
            <w:tcW w:w="760" w:type="dxa"/>
            <w:tcBorders>
              <w:tl2br w:val="nil"/>
              <w:tr2bl w:val="nil"/>
            </w:tcBorders>
            <w:shd w:val="clear" w:color="auto" w:fill="auto"/>
            <w:vAlign w:val="center"/>
          </w:tcPr>
          <w:p w14:paraId="53520C8E">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地理</w:t>
            </w:r>
          </w:p>
        </w:tc>
        <w:tc>
          <w:tcPr>
            <w:tcW w:w="2170" w:type="dxa"/>
            <w:tcBorders>
              <w:tl2br w:val="nil"/>
              <w:tr2bl w:val="nil"/>
            </w:tcBorders>
            <w:shd w:val="clear" w:color="auto" w:fill="auto"/>
            <w:vAlign w:val="center"/>
          </w:tcPr>
          <w:p w14:paraId="0DB88825">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中国式现代化背景下中小学教材生态文明内容编写与使用研究</w:t>
            </w:r>
          </w:p>
        </w:tc>
        <w:tc>
          <w:tcPr>
            <w:tcW w:w="7524" w:type="dxa"/>
            <w:tcBorders>
              <w:tl2br w:val="nil"/>
              <w:tr2bl w:val="nil"/>
            </w:tcBorders>
            <w:shd w:val="clear" w:color="auto" w:fill="auto"/>
            <w:vAlign w:val="center"/>
          </w:tcPr>
          <w:p w14:paraId="7B4B9DC6">
            <w:pPr>
              <w:tabs>
                <w:tab w:val="left" w:pos="2107"/>
              </w:tabs>
              <w:adjustRightInd w:val="0"/>
              <w:snapToGrid w:val="0"/>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一、研究基础：</w:t>
            </w:r>
          </w:p>
          <w:p w14:paraId="1EF0A6D3">
            <w:pPr>
              <w:tabs>
                <w:tab w:val="left" w:pos="2107"/>
              </w:tabs>
              <w:adjustRightInd w:val="0"/>
              <w:snapToGrid w:val="0"/>
              <w:rPr>
                <w:rFonts w:hint="eastAsia" w:asciiTheme="minorEastAsia" w:hAnsiTheme="minorEastAsia" w:cstheme="minorEastAsia"/>
                <w:szCs w:val="21"/>
              </w:rPr>
            </w:pPr>
            <w:r>
              <w:rPr>
                <w:rFonts w:hint="eastAsia" w:asciiTheme="minorEastAsia" w:hAnsiTheme="minorEastAsia" w:cstheme="minorEastAsia"/>
                <w:szCs w:val="21"/>
              </w:rPr>
              <w:t>1.发表论文：在中文核心期刊发表《从“区域视角”看基于“横向分类”的人地协调观水平解读》等相关论文两篇，并被人大复印报刊资料转载。</w:t>
            </w:r>
          </w:p>
          <w:p w14:paraId="113CA3BA">
            <w:pPr>
              <w:tabs>
                <w:tab w:val="left" w:pos="2107"/>
              </w:tabs>
              <w:adjustRightInd w:val="0"/>
              <w:snapToGrid w:val="0"/>
              <w:rPr>
                <w:rFonts w:hint="eastAsia" w:asciiTheme="minorEastAsia" w:hAnsiTheme="minorEastAsia" w:cstheme="minorEastAsia"/>
                <w:szCs w:val="21"/>
              </w:rPr>
            </w:pPr>
            <w:r>
              <w:rPr>
                <w:rFonts w:hint="eastAsia" w:asciiTheme="minorEastAsia" w:hAnsiTheme="minorEastAsia" w:cstheme="minorEastAsia"/>
                <w:szCs w:val="21"/>
              </w:rPr>
              <w:t>2.主持课题：吉林省教育科学“十四五”规划2023年度课题“核心素养视域下的高中多学科融合教学主题设计与实施研究”等两项。</w:t>
            </w:r>
          </w:p>
          <w:p w14:paraId="5E61DD73">
            <w:pPr>
              <w:tabs>
                <w:tab w:val="left" w:pos="2107"/>
              </w:tabs>
              <w:adjustRightInd w:val="0"/>
              <w:snapToGrid w:val="0"/>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二、破解现实问题：</w:t>
            </w:r>
          </w:p>
          <w:p w14:paraId="2A1C3C6F">
            <w:pPr>
              <w:tabs>
                <w:tab w:val="left" w:pos="2107"/>
              </w:tabs>
              <w:adjustRightInd w:val="0"/>
              <w:snapToGrid w:val="0"/>
              <w:rPr>
                <w:rFonts w:asciiTheme="minorEastAsia" w:hAnsiTheme="minorEastAsia" w:cstheme="minorEastAsia"/>
                <w:szCs w:val="21"/>
              </w:rPr>
            </w:pPr>
            <w:r>
              <w:rPr>
                <w:rFonts w:hint="eastAsia" w:asciiTheme="minorEastAsia" w:hAnsiTheme="minorEastAsia" w:cstheme="minorEastAsia"/>
                <w:szCs w:val="21"/>
              </w:rPr>
              <w:t>1.明确高中生生态文明素养的横向内容结构和纵向层级进阶；</w:t>
            </w:r>
          </w:p>
          <w:p w14:paraId="00A59093">
            <w:pPr>
              <w:tabs>
                <w:tab w:val="left" w:pos="2107"/>
              </w:tabs>
              <w:adjustRightInd w:val="0"/>
              <w:snapToGrid w:val="0"/>
              <w:rPr>
                <w:rFonts w:asciiTheme="minorEastAsia" w:hAnsiTheme="minorEastAsia" w:cstheme="minorEastAsia"/>
                <w:szCs w:val="21"/>
              </w:rPr>
            </w:pPr>
            <w:r>
              <w:rPr>
                <w:rFonts w:hint="eastAsia" w:asciiTheme="minorEastAsia" w:hAnsiTheme="minorEastAsia" w:cstheme="minorEastAsia"/>
                <w:szCs w:val="21"/>
              </w:rPr>
              <w:t>2.开发高中生生态文明素养水平诊断工具；</w:t>
            </w:r>
          </w:p>
          <w:p w14:paraId="6B797E89">
            <w:pPr>
              <w:tabs>
                <w:tab w:val="left" w:pos="2107"/>
              </w:tabs>
              <w:adjustRightInd w:val="0"/>
              <w:snapToGrid w:val="0"/>
              <w:rPr>
                <w:rFonts w:hint="eastAsia" w:asciiTheme="minorEastAsia" w:hAnsiTheme="minorEastAsia" w:cstheme="minorEastAsia"/>
                <w:szCs w:val="21"/>
              </w:rPr>
            </w:pPr>
            <w:r>
              <w:rPr>
                <w:rFonts w:hint="eastAsia" w:asciiTheme="minorEastAsia" w:hAnsiTheme="minorEastAsia" w:cstheme="minorEastAsia"/>
                <w:szCs w:val="21"/>
              </w:rPr>
              <w:t>3.构建培养高中生生态文明素养的跨学科教学内容主题和教学内容重点，并实施教学效果检验。</w:t>
            </w:r>
          </w:p>
          <w:p w14:paraId="0208B25B">
            <w:pPr>
              <w:tabs>
                <w:tab w:val="left" w:pos="2107"/>
              </w:tabs>
              <w:adjustRightInd w:val="0"/>
              <w:snapToGrid w:val="0"/>
              <w:rPr>
                <w:rFonts w:hint="eastAsia" w:asciiTheme="minorEastAsia" w:hAnsiTheme="minorEastAsia" w:cstheme="minorEastAsia"/>
                <w:szCs w:val="21"/>
              </w:rPr>
            </w:pPr>
            <w:r>
              <w:rPr>
                <w:rFonts w:hint="eastAsia" w:asciiTheme="minorEastAsia" w:hAnsiTheme="minorEastAsia" w:cstheme="minorEastAsia"/>
                <w:color w:val="000000"/>
                <w:szCs w:val="21"/>
              </w:rPr>
              <w:t>力求明确高中阶段生态文明素养的主旨和目标，理顺生态文明教育和学科课程教学之间的关系，规范生态文明学校教育教学行为，提高生态文明教育质量。</w:t>
            </w:r>
          </w:p>
        </w:tc>
        <w:tc>
          <w:tcPr>
            <w:tcW w:w="867" w:type="dxa"/>
            <w:tcBorders>
              <w:tl2br w:val="nil"/>
              <w:tr2bl w:val="nil"/>
            </w:tcBorders>
            <w:shd w:val="clear" w:color="auto" w:fill="auto"/>
            <w:vAlign w:val="center"/>
          </w:tcPr>
          <w:p w14:paraId="22AEFB11">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欧阳子豪</w:t>
            </w:r>
          </w:p>
        </w:tc>
      </w:tr>
      <w:tr w14:paraId="54967A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3" w:hRule="atLeast"/>
          <w:jc w:val="center"/>
        </w:trPr>
        <w:tc>
          <w:tcPr>
            <w:tcW w:w="720" w:type="dxa"/>
            <w:tcBorders>
              <w:tl2br w:val="nil"/>
              <w:tr2bl w:val="nil"/>
            </w:tcBorders>
            <w:shd w:val="clear" w:color="auto" w:fill="auto"/>
            <w:vAlign w:val="center"/>
          </w:tcPr>
          <w:p w14:paraId="65C4026C">
            <w:pPr>
              <w:adjustRightInd w:val="0"/>
              <w:snapToGrid w:val="0"/>
              <w:jc w:val="center"/>
              <w:rPr>
                <w:rFonts w:hint="eastAsia" w:asciiTheme="minorEastAsia" w:hAnsiTheme="minorEastAsia" w:cstheme="minorEastAsia"/>
                <w:color w:val="000000"/>
                <w:szCs w:val="21"/>
                <w:highlight w:val="none"/>
              </w:rPr>
            </w:pPr>
            <w:r>
              <w:rPr>
                <w:rFonts w:hint="eastAsia" w:asciiTheme="minorEastAsia" w:hAnsiTheme="minorEastAsia" w:cstheme="minorEastAsia"/>
                <w:color w:val="000000"/>
                <w:szCs w:val="21"/>
                <w:highlight w:val="none"/>
              </w:rPr>
              <w:t>30</w:t>
            </w:r>
          </w:p>
        </w:tc>
        <w:tc>
          <w:tcPr>
            <w:tcW w:w="2067" w:type="dxa"/>
            <w:tcBorders>
              <w:tl2br w:val="nil"/>
              <w:tr2bl w:val="nil"/>
            </w:tcBorders>
            <w:shd w:val="clear" w:color="auto" w:fill="auto"/>
            <w:vAlign w:val="center"/>
          </w:tcPr>
          <w:p w14:paraId="2B9DDFC6">
            <w:pPr>
              <w:adjustRightInd w:val="0"/>
              <w:snapToGrid w:val="0"/>
              <w:jc w:val="center"/>
              <w:rPr>
                <w:rFonts w:hint="eastAsia" w:asciiTheme="minorEastAsia" w:hAnsiTheme="minorEastAsia" w:cstheme="minorEastAsia"/>
                <w:color w:val="000000"/>
                <w:szCs w:val="21"/>
                <w:highlight w:val="none"/>
              </w:rPr>
            </w:pPr>
            <w:r>
              <w:rPr>
                <w:rFonts w:hint="eastAsia" w:asciiTheme="minorEastAsia" w:hAnsiTheme="minorEastAsia" w:cstheme="minorEastAsia"/>
                <w:color w:val="000000"/>
                <w:szCs w:val="21"/>
                <w:highlight w:val="none"/>
              </w:rPr>
              <w:t>基于信息技术课堂互动分析特征研究</w:t>
            </w:r>
          </w:p>
        </w:tc>
        <w:tc>
          <w:tcPr>
            <w:tcW w:w="760" w:type="dxa"/>
            <w:tcBorders>
              <w:tl2br w:val="nil"/>
              <w:tr2bl w:val="nil"/>
            </w:tcBorders>
            <w:shd w:val="clear" w:color="auto" w:fill="auto"/>
            <w:vAlign w:val="center"/>
          </w:tcPr>
          <w:p w14:paraId="629E700A">
            <w:pPr>
              <w:adjustRightInd w:val="0"/>
              <w:snapToGrid w:val="0"/>
              <w:jc w:val="center"/>
              <w:rPr>
                <w:rFonts w:hint="eastAsia" w:asciiTheme="minorEastAsia" w:hAnsiTheme="minorEastAsia" w:cstheme="minorEastAsia"/>
                <w:color w:val="000000"/>
                <w:szCs w:val="21"/>
                <w:highlight w:val="none"/>
              </w:rPr>
            </w:pPr>
            <w:r>
              <w:rPr>
                <w:rFonts w:hint="eastAsia" w:asciiTheme="minorEastAsia" w:hAnsiTheme="minorEastAsia" w:cstheme="minorEastAsia"/>
                <w:color w:val="000000"/>
                <w:szCs w:val="21"/>
                <w:highlight w:val="none"/>
              </w:rPr>
              <w:t>信息技术</w:t>
            </w:r>
          </w:p>
        </w:tc>
        <w:tc>
          <w:tcPr>
            <w:tcW w:w="2170" w:type="dxa"/>
            <w:tcBorders>
              <w:tl2br w:val="nil"/>
              <w:tr2bl w:val="nil"/>
            </w:tcBorders>
            <w:shd w:val="clear" w:color="auto" w:fill="auto"/>
            <w:vAlign w:val="center"/>
          </w:tcPr>
          <w:p w14:paraId="733D29EA">
            <w:pPr>
              <w:adjustRightInd w:val="0"/>
              <w:snapToGrid w:val="0"/>
              <w:jc w:val="center"/>
              <w:rPr>
                <w:rFonts w:hint="eastAsia" w:asciiTheme="minorEastAsia" w:hAnsiTheme="minorEastAsia" w:cstheme="minorEastAsia"/>
                <w:color w:val="000000"/>
                <w:szCs w:val="21"/>
                <w:highlight w:val="none"/>
              </w:rPr>
            </w:pPr>
            <w:r>
              <w:rPr>
                <w:rFonts w:hint="eastAsia" w:asciiTheme="minorEastAsia" w:hAnsiTheme="minorEastAsia" w:cstheme="minorEastAsia"/>
                <w:color w:val="000000"/>
                <w:szCs w:val="21"/>
                <w:highlight w:val="none"/>
              </w:rPr>
              <w:t>无</w:t>
            </w:r>
          </w:p>
        </w:tc>
        <w:tc>
          <w:tcPr>
            <w:tcW w:w="7524" w:type="dxa"/>
            <w:tcBorders>
              <w:tl2br w:val="nil"/>
              <w:tr2bl w:val="nil"/>
            </w:tcBorders>
            <w:shd w:val="clear" w:color="auto" w:fill="auto"/>
            <w:vAlign w:val="center"/>
          </w:tcPr>
          <w:p w14:paraId="0C7DE0A2">
            <w:pPr>
              <w:adjustRightInd w:val="0"/>
              <w:snapToGrid w:val="0"/>
              <w:rPr>
                <w:rFonts w:hint="eastAsia" w:asciiTheme="minorEastAsia" w:hAnsiTheme="minorEastAsia" w:cstheme="minorEastAsia"/>
                <w:color w:val="000000"/>
                <w:szCs w:val="21"/>
                <w:highlight w:val="none"/>
              </w:rPr>
            </w:pPr>
            <w:r>
              <w:rPr>
                <w:rFonts w:hint="eastAsia" w:asciiTheme="minorEastAsia" w:hAnsiTheme="minorEastAsia" w:cstheme="minorEastAsia"/>
                <w:color w:val="000000"/>
                <w:szCs w:val="21"/>
                <w:highlight w:val="none"/>
              </w:rPr>
              <w:t>中学信息技术的教学需要理论与实践的紧密结合，教学模式与教学方法也在不断探究中。目前，中学信息技术课程仍以演示法、讲授法作为主要教学方法。弗兰德斯互动分析系统（FIAS）作为一种结构性的、定量的课堂行为分析技术，要求观察者在观察课堂时定间隔采样、编码记录，再通过分析矩阵来进行定量分析与评价，用以描述教师教学</w:t>
            </w:r>
            <w:bookmarkStart w:id="0" w:name="_GoBack"/>
            <w:bookmarkEnd w:id="0"/>
            <w:r>
              <w:rPr>
                <w:rFonts w:hint="eastAsia" w:asciiTheme="minorEastAsia" w:hAnsiTheme="minorEastAsia" w:cstheme="minorEastAsia"/>
                <w:color w:val="000000"/>
                <w:szCs w:val="21"/>
                <w:highlight w:val="none"/>
              </w:rPr>
              <w:t>行为模式、教学结构和教学风格。改进型FIAS，将FIAS原有的10类编码进行扩充，保留FIAS部分传统分析功能的同时使其更适用于包含信息技术支持的数字化课堂，能够对典型的数字化课堂进行深入分析，同时提供数字化课堂的教学模式的判断依据。</w:t>
            </w:r>
          </w:p>
        </w:tc>
        <w:tc>
          <w:tcPr>
            <w:tcW w:w="867" w:type="dxa"/>
            <w:tcBorders>
              <w:tl2br w:val="nil"/>
              <w:tr2bl w:val="nil"/>
            </w:tcBorders>
            <w:shd w:val="clear" w:color="auto" w:fill="auto"/>
            <w:vAlign w:val="center"/>
          </w:tcPr>
          <w:p w14:paraId="541F6C9C">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封子军</w:t>
            </w:r>
          </w:p>
        </w:tc>
      </w:tr>
      <w:tr w14:paraId="34F547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5" w:hRule="atLeast"/>
          <w:jc w:val="center"/>
        </w:trPr>
        <w:tc>
          <w:tcPr>
            <w:tcW w:w="720" w:type="dxa"/>
            <w:tcBorders>
              <w:tl2br w:val="nil"/>
              <w:tr2bl w:val="nil"/>
            </w:tcBorders>
            <w:shd w:val="clear" w:color="auto" w:fill="auto"/>
            <w:vAlign w:val="center"/>
          </w:tcPr>
          <w:p w14:paraId="2BEB6A26">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31</w:t>
            </w:r>
          </w:p>
        </w:tc>
        <w:tc>
          <w:tcPr>
            <w:tcW w:w="2067" w:type="dxa"/>
            <w:tcBorders>
              <w:tl2br w:val="nil"/>
              <w:tr2bl w:val="nil"/>
            </w:tcBorders>
            <w:shd w:val="clear" w:color="auto" w:fill="auto"/>
            <w:vAlign w:val="center"/>
          </w:tcPr>
          <w:p w14:paraId="015410B8">
            <w:pPr>
              <w:adjustRightInd w:val="0"/>
              <w:snapToGrid w:val="0"/>
              <w:jc w:val="center"/>
              <w:rPr>
                <w:rFonts w:hint="eastAsia" w:asciiTheme="minorEastAsia" w:hAnsiTheme="minorEastAsia" w:cstheme="minorEastAsia"/>
                <w:szCs w:val="21"/>
              </w:rPr>
            </w:pPr>
            <w:r>
              <w:rPr>
                <w:rFonts w:hint="eastAsia" w:asciiTheme="minorEastAsia" w:hAnsiTheme="minorEastAsia" w:cstheme="minorEastAsia"/>
                <w:color w:val="000000"/>
                <w:szCs w:val="21"/>
              </w:rPr>
              <w:t>基于人工智能素养的中学信息技术课程解构与重构</w:t>
            </w:r>
          </w:p>
        </w:tc>
        <w:tc>
          <w:tcPr>
            <w:tcW w:w="760" w:type="dxa"/>
            <w:tcBorders>
              <w:tl2br w:val="nil"/>
              <w:tr2bl w:val="nil"/>
            </w:tcBorders>
            <w:shd w:val="clear" w:color="auto" w:fill="auto"/>
            <w:vAlign w:val="center"/>
          </w:tcPr>
          <w:p w14:paraId="11121F50">
            <w:pPr>
              <w:adjustRightInd w:val="0"/>
              <w:snapToGrid w:val="0"/>
              <w:jc w:val="center"/>
              <w:rPr>
                <w:rFonts w:hint="eastAsia" w:asciiTheme="minorEastAsia" w:hAnsiTheme="minorEastAsia" w:cstheme="minorEastAsia"/>
                <w:szCs w:val="21"/>
              </w:rPr>
            </w:pPr>
            <w:r>
              <w:rPr>
                <w:rFonts w:hint="eastAsia" w:asciiTheme="minorEastAsia" w:hAnsiTheme="minorEastAsia" w:cstheme="minorEastAsia"/>
                <w:color w:val="000000"/>
                <w:szCs w:val="21"/>
              </w:rPr>
              <w:t>信息技术</w:t>
            </w:r>
          </w:p>
        </w:tc>
        <w:tc>
          <w:tcPr>
            <w:tcW w:w="2170" w:type="dxa"/>
            <w:tcBorders>
              <w:tl2br w:val="nil"/>
              <w:tr2bl w:val="nil"/>
            </w:tcBorders>
            <w:shd w:val="clear" w:color="auto" w:fill="auto"/>
            <w:vAlign w:val="center"/>
          </w:tcPr>
          <w:p w14:paraId="7F4809F0">
            <w:pPr>
              <w:adjustRightInd w:val="0"/>
              <w:snapToGrid w:val="0"/>
              <w:jc w:val="center"/>
              <w:rPr>
                <w:rFonts w:hint="eastAsia" w:asciiTheme="minorEastAsia" w:hAnsiTheme="minorEastAsia" w:cstheme="minorEastAsia"/>
                <w:szCs w:val="21"/>
              </w:rPr>
            </w:pPr>
            <w:r>
              <w:rPr>
                <w:rFonts w:hint="eastAsia" w:asciiTheme="minorEastAsia" w:hAnsiTheme="minorEastAsia" w:cstheme="minorEastAsia"/>
                <w:color w:val="000000"/>
                <w:szCs w:val="21"/>
              </w:rPr>
              <w:t>无</w:t>
            </w:r>
          </w:p>
        </w:tc>
        <w:tc>
          <w:tcPr>
            <w:tcW w:w="7524" w:type="dxa"/>
            <w:tcBorders>
              <w:tl2br w:val="nil"/>
              <w:tr2bl w:val="nil"/>
            </w:tcBorders>
            <w:shd w:val="clear" w:color="auto" w:fill="auto"/>
            <w:vAlign w:val="center"/>
          </w:tcPr>
          <w:p w14:paraId="09B24BA4">
            <w:pPr>
              <w:pStyle w:val="8"/>
              <w:widowControl/>
              <w:adjustRightInd w:val="0"/>
              <w:snapToGrid w:val="0"/>
              <w:spacing w:before="0" w:beforeAutospacing="0" w:after="0" w:afterAutospacing="0"/>
              <w:jc w:val="both"/>
              <w:rPr>
                <w:rFonts w:hint="eastAsia" w:asciiTheme="minorEastAsia" w:hAnsiTheme="minorEastAsia" w:cstheme="minorEastAsia"/>
                <w:kern w:val="2"/>
                <w:sz w:val="21"/>
                <w:szCs w:val="21"/>
              </w:rPr>
            </w:pPr>
            <w:r>
              <w:rPr>
                <w:rFonts w:hint="eastAsia" w:asciiTheme="minorEastAsia" w:hAnsiTheme="minorEastAsia" w:cstheme="minorEastAsia"/>
                <w:color w:val="000000"/>
                <w:kern w:val="2"/>
                <w:sz w:val="21"/>
                <w:szCs w:val="21"/>
              </w:rPr>
              <w:t>随着人工智能技术的飞速发展，人工智能已经成为我国国家战略发展的重要研究对象。在教育领域，人工智能素养的培养也日益受到重视。为了适应这一时代发展趋势，提高中学生的信息技术素养，我们需要对中学信息技术课程进行解构与重构。课程结构方面，从课程目标、课程内容、课程形式和评价方面都要进行全方位的系统设计。课程重构方面，要增加人工智能模块，在信息技术课程中增加专门的人工智能教学模块，系统地介绍人工智能的基本概念、原理和技术。同时，要进行跨学科的整合。将人工智能与数学、物理、生物等学科相结合，培养学生的跨学科思维和解决问题的能力。再次，要增强实践教学。加强实验室、实训基地等实践教学环节，让学生亲自动手实践，提高实际操作能力。从情境方面展开教学，创设真实的人工智能应用场景，让学生在解决问题中掌握人工智能知识，提高解决问题的能力。基于人工智能素养的中学信息技术课程解构与重构，需要我们将人工智能知识与技能融入课程，采用多样化的教学方式，注重学生的实践能力和创新能力培养。这样才能培养出适应时代发展需要的具有人工智能素养的中学生。</w:t>
            </w:r>
          </w:p>
        </w:tc>
        <w:tc>
          <w:tcPr>
            <w:tcW w:w="867" w:type="dxa"/>
            <w:tcBorders>
              <w:tl2br w:val="nil"/>
              <w:tr2bl w:val="nil"/>
            </w:tcBorders>
            <w:shd w:val="clear" w:color="auto" w:fill="auto"/>
            <w:vAlign w:val="center"/>
          </w:tcPr>
          <w:p w14:paraId="180C8FCC">
            <w:pPr>
              <w:adjustRightInd w:val="0"/>
              <w:snapToGrid w:val="0"/>
              <w:jc w:val="center"/>
              <w:rPr>
                <w:rFonts w:hint="eastAsia" w:asciiTheme="minorEastAsia" w:hAnsiTheme="minorEastAsia" w:cstheme="minorEastAsia"/>
                <w:szCs w:val="21"/>
              </w:rPr>
            </w:pPr>
            <w:r>
              <w:rPr>
                <w:rFonts w:hint="eastAsia" w:asciiTheme="minorEastAsia" w:hAnsiTheme="minorEastAsia" w:cstheme="minorEastAsia"/>
                <w:color w:val="000000"/>
                <w:szCs w:val="21"/>
              </w:rPr>
              <w:t>张文亮</w:t>
            </w:r>
          </w:p>
        </w:tc>
      </w:tr>
      <w:tr w14:paraId="75CA59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720" w:type="dxa"/>
            <w:tcBorders>
              <w:tl2br w:val="nil"/>
              <w:tr2bl w:val="nil"/>
            </w:tcBorders>
            <w:shd w:val="clear" w:color="auto" w:fill="auto"/>
            <w:vAlign w:val="center"/>
          </w:tcPr>
          <w:p w14:paraId="40D5E9A7">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32</w:t>
            </w:r>
          </w:p>
        </w:tc>
        <w:tc>
          <w:tcPr>
            <w:tcW w:w="2067" w:type="dxa"/>
            <w:tcBorders>
              <w:tl2br w:val="nil"/>
              <w:tr2bl w:val="nil"/>
            </w:tcBorders>
            <w:shd w:val="clear" w:color="auto" w:fill="auto"/>
            <w:vAlign w:val="center"/>
          </w:tcPr>
          <w:p w14:paraId="6971843B">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“教-学-评”一体化的中学生艺术素养表现性评价实践研究</w:t>
            </w:r>
          </w:p>
        </w:tc>
        <w:tc>
          <w:tcPr>
            <w:tcW w:w="760" w:type="dxa"/>
            <w:tcBorders>
              <w:tl2br w:val="nil"/>
              <w:tr2bl w:val="nil"/>
            </w:tcBorders>
            <w:shd w:val="clear" w:color="auto" w:fill="auto"/>
            <w:vAlign w:val="center"/>
          </w:tcPr>
          <w:p w14:paraId="42EAC019">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音乐</w:t>
            </w:r>
          </w:p>
        </w:tc>
        <w:tc>
          <w:tcPr>
            <w:tcW w:w="2170" w:type="dxa"/>
            <w:tcBorders>
              <w:tl2br w:val="nil"/>
              <w:tr2bl w:val="nil"/>
            </w:tcBorders>
            <w:shd w:val="clear" w:color="auto" w:fill="auto"/>
            <w:vAlign w:val="center"/>
          </w:tcPr>
          <w:p w14:paraId="7FC713B0">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“美育进中考”背景下学生艺术素养表现性评价研究</w:t>
            </w:r>
          </w:p>
        </w:tc>
        <w:tc>
          <w:tcPr>
            <w:tcW w:w="7524" w:type="dxa"/>
            <w:tcBorders>
              <w:tl2br w:val="nil"/>
              <w:tr2bl w:val="nil"/>
            </w:tcBorders>
            <w:shd w:val="clear" w:color="auto" w:fill="auto"/>
            <w:vAlign w:val="center"/>
          </w:tcPr>
          <w:p w14:paraId="134B4E90">
            <w:pPr>
              <w:adjustRightInd w:val="0"/>
              <w:snapToGrid w:val="0"/>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2022年4月颁布的《义务教育艺术课程标准（2022版）》明确了艺术课程所要培养的核心素养，包括“审美感知”“艺术表现”“创意实践”“文化理解”等。同时提出“坚持素养导向、坚持以评促学、重视表现性评价、坚持多主体评价”的评价建议。聚焦学校美育的根本任务，满足学生素养发展需要，促进学校美育课程教学，是美育评价改革的应有之义。在此背景下，2022年获批国家社科基金教育学青年课题《“美育进中考”背景下学生艺术素养表现性评价研究》，以期深入探讨中学艺术课程实施过程中‘教-学-评’一体化的设计、应用与实施。</w:t>
            </w:r>
          </w:p>
          <w:p w14:paraId="4B119519">
            <w:pPr>
              <w:adjustRightInd w:val="0"/>
              <w:snapToGrid w:val="0"/>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拟破解问题：</w:t>
            </w:r>
          </w:p>
          <w:p w14:paraId="7C91AF0E">
            <w:pPr>
              <w:adjustRightInd w:val="0"/>
              <w:snapToGrid w:val="0"/>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1.力图运用表现性评价理论解决学生艺术素养评价应试化、技能化、表面化的问题。</w:t>
            </w:r>
          </w:p>
          <w:p w14:paraId="7BF59728">
            <w:pPr>
              <w:adjustRightInd w:val="0"/>
              <w:snapToGrid w:val="0"/>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2.建构以“真实情境创设，审美实践表现”为核心，目标明确、内容具体、过程可行、结果可信的学生艺术素养表现性评价实践路径。</w:t>
            </w:r>
          </w:p>
          <w:p w14:paraId="17B4C91A">
            <w:pPr>
              <w:adjustRightInd w:val="0"/>
              <w:snapToGrid w:val="0"/>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3.实施学生艺术素养表现性评价，检视表现性任务及评价规则的合理性，发挥表现性评价促进学生艺术学习，提升学生艺术素养的功能。</w:t>
            </w:r>
          </w:p>
        </w:tc>
        <w:tc>
          <w:tcPr>
            <w:tcW w:w="867" w:type="dxa"/>
            <w:tcBorders>
              <w:tl2br w:val="nil"/>
              <w:tr2bl w:val="nil"/>
            </w:tcBorders>
            <w:shd w:val="clear" w:color="auto" w:fill="auto"/>
            <w:vAlign w:val="center"/>
          </w:tcPr>
          <w:p w14:paraId="0D93AFC2">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刘畅</w:t>
            </w:r>
          </w:p>
        </w:tc>
      </w:tr>
      <w:tr w14:paraId="7590F4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720" w:type="dxa"/>
            <w:tcBorders>
              <w:tl2br w:val="nil"/>
              <w:tr2bl w:val="nil"/>
            </w:tcBorders>
            <w:shd w:val="clear" w:color="auto" w:fill="auto"/>
            <w:vAlign w:val="center"/>
          </w:tcPr>
          <w:p w14:paraId="6EDD3925">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33</w:t>
            </w:r>
          </w:p>
        </w:tc>
        <w:tc>
          <w:tcPr>
            <w:tcW w:w="2067" w:type="dxa"/>
            <w:tcBorders>
              <w:tl2br w:val="nil"/>
              <w:tr2bl w:val="nil"/>
            </w:tcBorders>
            <w:shd w:val="clear" w:color="auto" w:fill="auto"/>
            <w:vAlign w:val="center"/>
          </w:tcPr>
          <w:p w14:paraId="37E6418B">
            <w:pPr>
              <w:adjustRightInd w:val="0"/>
              <w:snapToGrid w:val="0"/>
              <w:jc w:val="center"/>
              <w:rPr>
                <w:rFonts w:hint="eastAsia" w:asciiTheme="minorEastAsia" w:hAnsiTheme="minorEastAsia" w:cstheme="minorEastAsia"/>
                <w:szCs w:val="21"/>
              </w:rPr>
            </w:pPr>
            <w:r>
              <w:rPr>
                <w:rFonts w:hint="eastAsia" w:asciiTheme="minorEastAsia" w:hAnsiTheme="minorEastAsia" w:cstheme="minorEastAsia"/>
                <w:color w:val="000000"/>
                <w:szCs w:val="21"/>
              </w:rPr>
              <w:t>STEAM背景下中学音乐跨学科教学设计研究</w:t>
            </w:r>
          </w:p>
        </w:tc>
        <w:tc>
          <w:tcPr>
            <w:tcW w:w="760" w:type="dxa"/>
            <w:tcBorders>
              <w:tl2br w:val="nil"/>
              <w:tr2bl w:val="nil"/>
            </w:tcBorders>
            <w:shd w:val="clear" w:color="auto" w:fill="auto"/>
            <w:vAlign w:val="center"/>
          </w:tcPr>
          <w:p w14:paraId="176D4A24">
            <w:pPr>
              <w:adjustRightInd w:val="0"/>
              <w:snapToGrid w:val="0"/>
              <w:jc w:val="center"/>
              <w:rPr>
                <w:rFonts w:hint="eastAsia" w:asciiTheme="minorEastAsia" w:hAnsiTheme="minorEastAsia" w:cstheme="minorEastAsia"/>
                <w:szCs w:val="21"/>
              </w:rPr>
            </w:pPr>
            <w:r>
              <w:rPr>
                <w:rFonts w:hint="eastAsia" w:asciiTheme="minorEastAsia" w:hAnsiTheme="minorEastAsia" w:cstheme="minorEastAsia"/>
                <w:color w:val="000000"/>
                <w:szCs w:val="21"/>
              </w:rPr>
              <w:t>音乐</w:t>
            </w:r>
          </w:p>
        </w:tc>
        <w:tc>
          <w:tcPr>
            <w:tcW w:w="2170" w:type="dxa"/>
            <w:tcBorders>
              <w:tl2br w:val="nil"/>
              <w:tr2bl w:val="nil"/>
            </w:tcBorders>
            <w:shd w:val="clear" w:color="auto" w:fill="auto"/>
            <w:vAlign w:val="center"/>
          </w:tcPr>
          <w:p w14:paraId="56C1F5FB">
            <w:pPr>
              <w:adjustRightInd w:val="0"/>
              <w:snapToGrid w:val="0"/>
              <w:jc w:val="center"/>
              <w:rPr>
                <w:rFonts w:hint="eastAsia" w:asciiTheme="minorEastAsia" w:hAnsiTheme="minorEastAsia" w:cstheme="minorEastAsia"/>
                <w:szCs w:val="21"/>
              </w:rPr>
            </w:pPr>
            <w:r>
              <w:rPr>
                <w:rFonts w:hint="eastAsia" w:asciiTheme="minorEastAsia" w:hAnsiTheme="minorEastAsia" w:cstheme="minorEastAsia"/>
                <w:color w:val="000000"/>
                <w:szCs w:val="21"/>
              </w:rPr>
              <w:t>STEAM背景下中小学音乐教师综合素养评价模型构建研究</w:t>
            </w:r>
          </w:p>
        </w:tc>
        <w:tc>
          <w:tcPr>
            <w:tcW w:w="7524" w:type="dxa"/>
            <w:tcBorders>
              <w:tl2br w:val="nil"/>
              <w:tr2bl w:val="nil"/>
            </w:tcBorders>
            <w:shd w:val="clear" w:color="auto" w:fill="auto"/>
            <w:vAlign w:val="center"/>
          </w:tcPr>
          <w:p w14:paraId="6A069325">
            <w:pPr>
              <w:adjustRightInd w:val="0"/>
              <w:snapToGrid w:val="0"/>
              <w:rPr>
                <w:rFonts w:hint="eastAsia" w:asciiTheme="minorEastAsia" w:hAnsiTheme="minorEastAsia" w:cstheme="minorEastAsia"/>
                <w:szCs w:val="21"/>
              </w:rPr>
            </w:pPr>
            <w:r>
              <w:rPr>
                <w:rFonts w:hint="eastAsia" w:asciiTheme="minorEastAsia" w:hAnsiTheme="minorEastAsia" w:cstheme="minorEastAsia"/>
                <w:color w:val="000000"/>
                <w:szCs w:val="21"/>
              </w:rPr>
              <w:t>在STEAM教育背景下，中学音乐教学的跨学科设计研究旨在打破传统学科界限，通过音乐与科学、技术、工程和数学的融合，促进学生综合素养的提升。音乐教育的引入不仅丰富了学生的感官体验，还激发了他们的创造力和想象力，这对于培养学生的创新思维至关重要。在设计跨学科课程时，教育者应考虑如何将音乐的节奏、旋律与数学的逻辑、科学的规律相结合，以及如何通过音乐创作和表演来锻炼学生的实践能力和团队协作精神。此外，通过项目式学习，学生可以在解决实际问题的过程中应用跨学科知识，从而提升他们的问题解决能力和创新能力。这种教学模式有助于解决传统教育中学科分离、学生兴趣不足以及实践能力缺乏等问题，为学生提供一个全面、互动和创新的学习环境，培养他们成为未来社会所需的复合型人才。</w:t>
            </w:r>
          </w:p>
        </w:tc>
        <w:tc>
          <w:tcPr>
            <w:tcW w:w="867" w:type="dxa"/>
            <w:tcBorders>
              <w:tl2br w:val="nil"/>
              <w:tr2bl w:val="nil"/>
            </w:tcBorders>
            <w:shd w:val="clear" w:color="auto" w:fill="auto"/>
            <w:vAlign w:val="center"/>
          </w:tcPr>
          <w:p w14:paraId="1947E10A">
            <w:pPr>
              <w:adjustRightInd w:val="0"/>
              <w:snapToGrid w:val="0"/>
              <w:jc w:val="center"/>
              <w:rPr>
                <w:rFonts w:hint="eastAsia" w:asciiTheme="minorEastAsia" w:hAnsiTheme="minorEastAsia" w:cstheme="minorEastAsia"/>
                <w:szCs w:val="21"/>
              </w:rPr>
            </w:pPr>
            <w:r>
              <w:rPr>
                <w:rFonts w:hint="eastAsia" w:asciiTheme="minorEastAsia" w:hAnsiTheme="minorEastAsia" w:cstheme="minorEastAsia"/>
                <w:color w:val="000000"/>
                <w:szCs w:val="21"/>
              </w:rPr>
              <w:t>佟贺</w:t>
            </w:r>
          </w:p>
        </w:tc>
      </w:tr>
      <w:tr w14:paraId="64C83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720" w:type="dxa"/>
            <w:tcBorders>
              <w:tl2br w:val="nil"/>
              <w:tr2bl w:val="nil"/>
            </w:tcBorders>
            <w:shd w:val="clear" w:color="auto" w:fill="auto"/>
            <w:vAlign w:val="center"/>
          </w:tcPr>
          <w:p w14:paraId="54EDAD1E">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34</w:t>
            </w:r>
          </w:p>
        </w:tc>
        <w:tc>
          <w:tcPr>
            <w:tcW w:w="2067" w:type="dxa"/>
            <w:tcBorders>
              <w:tl2br w:val="nil"/>
              <w:tr2bl w:val="nil"/>
            </w:tcBorders>
            <w:shd w:val="clear" w:color="auto" w:fill="auto"/>
            <w:vAlign w:val="center"/>
          </w:tcPr>
          <w:p w14:paraId="3D174153">
            <w:pPr>
              <w:adjustRightInd w:val="0"/>
              <w:snapToGrid w:val="0"/>
              <w:jc w:val="center"/>
              <w:rPr>
                <w:rFonts w:hint="eastAsia" w:asciiTheme="minorEastAsia" w:hAnsiTheme="minorEastAsia" w:cstheme="minorEastAsia"/>
                <w:szCs w:val="21"/>
              </w:rPr>
            </w:pPr>
            <w:r>
              <w:rPr>
                <w:rFonts w:hint="eastAsia" w:asciiTheme="minorEastAsia" w:hAnsiTheme="minorEastAsia" w:cstheme="minorEastAsia"/>
                <w:color w:val="000000"/>
                <w:szCs w:val="21"/>
              </w:rPr>
              <w:t>数字化时代下的创新实验区基础音乐教育教学模式创新研究</w:t>
            </w:r>
          </w:p>
        </w:tc>
        <w:tc>
          <w:tcPr>
            <w:tcW w:w="760" w:type="dxa"/>
            <w:tcBorders>
              <w:tl2br w:val="nil"/>
              <w:tr2bl w:val="nil"/>
            </w:tcBorders>
            <w:shd w:val="clear" w:color="auto" w:fill="auto"/>
            <w:vAlign w:val="center"/>
          </w:tcPr>
          <w:p w14:paraId="4031D66F">
            <w:pPr>
              <w:adjustRightInd w:val="0"/>
              <w:snapToGrid w:val="0"/>
              <w:jc w:val="center"/>
              <w:rPr>
                <w:rFonts w:hint="eastAsia" w:asciiTheme="minorEastAsia" w:hAnsiTheme="minorEastAsia" w:cstheme="minorEastAsia"/>
                <w:szCs w:val="21"/>
              </w:rPr>
            </w:pPr>
            <w:r>
              <w:rPr>
                <w:rFonts w:hint="eastAsia" w:asciiTheme="minorEastAsia" w:hAnsiTheme="minorEastAsia" w:cstheme="minorEastAsia"/>
                <w:color w:val="000000"/>
                <w:szCs w:val="21"/>
              </w:rPr>
              <w:t>音乐</w:t>
            </w:r>
          </w:p>
        </w:tc>
        <w:tc>
          <w:tcPr>
            <w:tcW w:w="2170" w:type="dxa"/>
            <w:tcBorders>
              <w:tl2br w:val="nil"/>
              <w:tr2bl w:val="nil"/>
            </w:tcBorders>
            <w:shd w:val="clear" w:color="auto" w:fill="auto"/>
            <w:vAlign w:val="center"/>
          </w:tcPr>
          <w:p w14:paraId="52FC2C87">
            <w:pPr>
              <w:adjustRightInd w:val="0"/>
              <w:snapToGrid w:val="0"/>
              <w:jc w:val="center"/>
              <w:rPr>
                <w:rFonts w:hint="eastAsia" w:asciiTheme="minorEastAsia" w:hAnsiTheme="minorEastAsia" w:cstheme="minorEastAsia"/>
                <w:szCs w:val="21"/>
              </w:rPr>
            </w:pPr>
            <w:r>
              <w:rPr>
                <w:rFonts w:hint="eastAsia" w:asciiTheme="minorEastAsia" w:hAnsiTheme="minorEastAsia" w:cstheme="minorEastAsia"/>
                <w:color w:val="000000"/>
                <w:szCs w:val="21"/>
              </w:rPr>
              <w:t>无</w:t>
            </w:r>
          </w:p>
        </w:tc>
        <w:tc>
          <w:tcPr>
            <w:tcW w:w="7524" w:type="dxa"/>
            <w:tcBorders>
              <w:tl2br w:val="nil"/>
              <w:tr2bl w:val="nil"/>
            </w:tcBorders>
            <w:shd w:val="clear" w:color="auto" w:fill="auto"/>
            <w:vAlign w:val="center"/>
          </w:tcPr>
          <w:p w14:paraId="2F450678">
            <w:pPr>
              <w:adjustRightInd w:val="0"/>
              <w:snapToGrid w:val="0"/>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本课题研究基础主要建立在对当前数字化时代教育变革的深刻洞察之上。随着信息技术的飞速发展，音乐教育领域正面临着前所未有的机遇与挑战。一方面，数字化技术为音乐教学提供了丰富的资源和手段，使得音乐教育的形式和内容得以不断创新；另一方面，传统音乐教学模式的局限性也逐渐暴露，无法满足新时代学生的多元化需求。</w:t>
            </w:r>
          </w:p>
          <w:p w14:paraId="0615F1C1">
            <w:pPr>
              <w:adjustRightInd w:val="0"/>
              <w:snapToGrid w:val="0"/>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因此，本课题的研究基础不仅包括对数字化技术的深入探索，还涉及对音乐教育理念的更新与拓展。通过借鉴国内外先进的教育理论和实践经验，我们旨在构建一种适应数字化时代特点的基础音乐教育教学模式。</w:t>
            </w:r>
          </w:p>
          <w:p w14:paraId="12E82985">
            <w:pPr>
              <w:adjustRightInd w:val="0"/>
              <w:snapToGrid w:val="0"/>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在破解现实问题方面，本课题将重点关注以下几个方面：一是如何充分利用数字化技术优化音乐教学资源配置，提高教学效率；二是如何借助数字化手段创新音乐教学方法，激发学生的学习兴趣和创造力；三是如何构建数字化音乐教学评价体系，全面评估学生的学习成果和发展潜力；四是如何推动数字化音乐教育的普及与均衡发展，缩小城乡、区域之间的教育差距。</w:t>
            </w:r>
          </w:p>
          <w:p w14:paraId="6F8D93D4">
            <w:pPr>
              <w:adjustRightInd w:val="0"/>
              <w:snapToGrid w:val="0"/>
              <w:rPr>
                <w:rFonts w:hint="eastAsia" w:asciiTheme="minorEastAsia" w:hAnsiTheme="minorEastAsia" w:cstheme="minorEastAsia"/>
                <w:szCs w:val="21"/>
              </w:rPr>
            </w:pPr>
            <w:r>
              <w:rPr>
                <w:rFonts w:hint="eastAsia" w:asciiTheme="minorEastAsia" w:hAnsiTheme="minorEastAsia" w:cstheme="minorEastAsia"/>
                <w:color w:val="000000"/>
                <w:szCs w:val="21"/>
              </w:rPr>
              <w:t>通过深入研究和实践探索，本课题旨在为基础音乐教育教学模式的创新提供理论支持和实践指导，推动数字化时代下的音乐教育事业蓬勃发展。我们相信，在数字化技术的引领下，基础音乐教育将迎来更加美好的未来。</w:t>
            </w:r>
          </w:p>
        </w:tc>
        <w:tc>
          <w:tcPr>
            <w:tcW w:w="867" w:type="dxa"/>
            <w:tcBorders>
              <w:tl2br w:val="nil"/>
              <w:tr2bl w:val="nil"/>
            </w:tcBorders>
            <w:shd w:val="clear" w:color="auto" w:fill="auto"/>
            <w:vAlign w:val="center"/>
          </w:tcPr>
          <w:p w14:paraId="256D14EB">
            <w:pPr>
              <w:adjustRightInd w:val="0"/>
              <w:snapToGrid w:val="0"/>
              <w:jc w:val="center"/>
              <w:rPr>
                <w:rFonts w:hint="eastAsia" w:asciiTheme="minorEastAsia" w:hAnsiTheme="minorEastAsia" w:cstheme="minorEastAsia"/>
                <w:szCs w:val="21"/>
              </w:rPr>
            </w:pPr>
            <w:r>
              <w:rPr>
                <w:rFonts w:hint="eastAsia" w:asciiTheme="minorEastAsia" w:hAnsiTheme="minorEastAsia" w:cstheme="minorEastAsia"/>
                <w:color w:val="000000"/>
                <w:szCs w:val="21"/>
              </w:rPr>
              <w:t>姜宝君</w:t>
            </w:r>
          </w:p>
        </w:tc>
      </w:tr>
      <w:tr w14:paraId="1BD35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720" w:type="dxa"/>
            <w:tcBorders>
              <w:tl2br w:val="nil"/>
              <w:tr2bl w:val="nil"/>
            </w:tcBorders>
            <w:shd w:val="clear" w:color="auto" w:fill="auto"/>
            <w:vAlign w:val="center"/>
          </w:tcPr>
          <w:p w14:paraId="706EF8D8">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35</w:t>
            </w:r>
          </w:p>
        </w:tc>
        <w:tc>
          <w:tcPr>
            <w:tcW w:w="2067" w:type="dxa"/>
            <w:tcBorders>
              <w:tl2br w:val="nil"/>
              <w:tr2bl w:val="nil"/>
            </w:tcBorders>
            <w:shd w:val="clear" w:color="auto" w:fill="auto"/>
            <w:vAlign w:val="center"/>
          </w:tcPr>
          <w:p w14:paraId="6C4D69A2">
            <w:pPr>
              <w:adjustRightInd w:val="0"/>
              <w:snapToGrid w:val="0"/>
              <w:jc w:val="center"/>
              <w:rPr>
                <w:rFonts w:hint="eastAsia" w:asciiTheme="minorEastAsia" w:hAnsiTheme="minorEastAsia" w:cstheme="minorEastAsia"/>
                <w:szCs w:val="21"/>
              </w:rPr>
            </w:pPr>
            <w:r>
              <w:rPr>
                <w:rFonts w:hint="eastAsia" w:asciiTheme="minorEastAsia" w:hAnsiTheme="minorEastAsia" w:cstheme="minorEastAsia"/>
                <w:szCs w:val="21"/>
              </w:rPr>
              <w:t>中小学体育教师跨学科教学能力的培养路径研究</w:t>
            </w:r>
          </w:p>
        </w:tc>
        <w:tc>
          <w:tcPr>
            <w:tcW w:w="760" w:type="dxa"/>
            <w:tcBorders>
              <w:tl2br w:val="nil"/>
              <w:tr2bl w:val="nil"/>
            </w:tcBorders>
            <w:shd w:val="clear" w:color="auto" w:fill="auto"/>
            <w:vAlign w:val="center"/>
          </w:tcPr>
          <w:p w14:paraId="70DA4CBB">
            <w:pPr>
              <w:adjustRightInd w:val="0"/>
              <w:snapToGrid w:val="0"/>
              <w:jc w:val="center"/>
              <w:rPr>
                <w:rFonts w:hint="eastAsia" w:asciiTheme="minorEastAsia" w:hAnsiTheme="minorEastAsia" w:cstheme="minorEastAsia"/>
                <w:szCs w:val="21"/>
              </w:rPr>
            </w:pPr>
            <w:r>
              <w:rPr>
                <w:rFonts w:hint="eastAsia" w:asciiTheme="minorEastAsia" w:hAnsiTheme="minorEastAsia" w:cstheme="minorEastAsia"/>
                <w:szCs w:val="21"/>
              </w:rPr>
              <w:t>体育</w:t>
            </w:r>
          </w:p>
        </w:tc>
        <w:tc>
          <w:tcPr>
            <w:tcW w:w="2170" w:type="dxa"/>
            <w:tcBorders>
              <w:tl2br w:val="nil"/>
              <w:tr2bl w:val="nil"/>
            </w:tcBorders>
            <w:shd w:val="clear" w:color="auto" w:fill="auto"/>
            <w:vAlign w:val="center"/>
          </w:tcPr>
          <w:p w14:paraId="01BE9CE5">
            <w:pPr>
              <w:adjustRightInd w:val="0"/>
              <w:snapToGrid w:val="0"/>
              <w:jc w:val="center"/>
              <w:rPr>
                <w:rFonts w:hint="eastAsia" w:asciiTheme="minorEastAsia" w:hAnsiTheme="minorEastAsia" w:cstheme="minorEastAsia"/>
                <w:szCs w:val="21"/>
              </w:rPr>
            </w:pPr>
            <w:r>
              <w:rPr>
                <w:rFonts w:hint="eastAsia" w:asciiTheme="minorEastAsia" w:hAnsiTheme="minorEastAsia" w:cstheme="minorEastAsia"/>
                <w:szCs w:val="21"/>
              </w:rPr>
              <w:t>无</w:t>
            </w:r>
          </w:p>
        </w:tc>
        <w:tc>
          <w:tcPr>
            <w:tcW w:w="7524" w:type="dxa"/>
            <w:tcBorders>
              <w:tl2br w:val="nil"/>
              <w:tr2bl w:val="nil"/>
            </w:tcBorders>
            <w:shd w:val="clear" w:color="auto" w:fill="auto"/>
            <w:vAlign w:val="center"/>
          </w:tcPr>
          <w:p w14:paraId="6DD8A0E3">
            <w:pPr>
              <w:pStyle w:val="8"/>
              <w:adjustRightInd w:val="0"/>
              <w:snapToGrid w:val="0"/>
              <w:spacing w:before="0" w:beforeAutospacing="0" w:after="0" w:afterAutospacing="0"/>
              <w:jc w:val="both"/>
              <w:rPr>
                <w:rFonts w:asciiTheme="minorEastAsia" w:hAnsiTheme="minorEastAsia" w:cstheme="minorEastAsia"/>
                <w:kern w:val="2"/>
                <w:sz w:val="21"/>
                <w:szCs w:val="21"/>
              </w:rPr>
            </w:pPr>
            <w:r>
              <w:rPr>
                <w:rFonts w:hint="eastAsia" w:asciiTheme="minorEastAsia" w:hAnsiTheme="minorEastAsia" w:cstheme="minorEastAsia"/>
                <w:kern w:val="2"/>
                <w:sz w:val="21"/>
                <w:szCs w:val="21"/>
              </w:rPr>
              <w:t>本课题的研究基础扎根于东北师范大学体育学院陈帅副教授的先行研究。陈帅副教授在体育教学模式、大单元教程以及教学环境优化等方面的研究，为本课题提供了理论和实践的基础。特别是在促进学科间相互关联和综合化教学实施方面的经验，为本课题的开展提供了重要的参考。此外，结合2022版义务教育《体育与健康课程标准》对跨学科主题学习的新要求，本课题旨在探索中小学体育教师如何有效整合不同学科知识，以促进学生全面发展。</w:t>
            </w:r>
          </w:p>
          <w:p w14:paraId="0895B385">
            <w:pPr>
              <w:pStyle w:val="8"/>
              <w:adjustRightInd w:val="0"/>
              <w:snapToGrid w:val="0"/>
              <w:spacing w:before="0" w:beforeAutospacing="0" w:after="0" w:afterAutospacing="0"/>
              <w:jc w:val="both"/>
              <w:rPr>
                <w:rFonts w:hint="eastAsia" w:asciiTheme="minorEastAsia" w:hAnsiTheme="minorEastAsia" w:cstheme="minorEastAsia"/>
                <w:kern w:val="2"/>
                <w:sz w:val="21"/>
                <w:szCs w:val="21"/>
              </w:rPr>
            </w:pPr>
            <w:r>
              <w:rPr>
                <w:rFonts w:hint="eastAsia" w:asciiTheme="minorEastAsia" w:hAnsiTheme="minorEastAsia" w:cstheme="minorEastAsia"/>
                <w:kern w:val="2"/>
                <w:sz w:val="21"/>
                <w:szCs w:val="21"/>
              </w:rPr>
              <w:t>拟破解问题：面对中小学体育教育在跨学科教学实施中遇到的挑战，如教学资源整合、创新教学方法的开发等。本课题将通过实证研究和案例分析，探索具体的培养路径和策略。研究成果将直接指导教育实践，提升教师专业素养，促进学生的全面发展，为基础教育的高质量发展提供支撑。通过文献综述、实证研究和案例研究，本课题将评估跨学科教学在提升学生核心素养方面的效果，并提出具体的实施策略和方法。预期成果包括形成一套适用于中小学体育教师的跨学科教学能力培养路径，提出具体的实施策略和方法，为体育教师的专业发展提供指导，并通过跨学科教学提升学生的体育素养，促进其全面发展。</w:t>
            </w:r>
          </w:p>
        </w:tc>
        <w:tc>
          <w:tcPr>
            <w:tcW w:w="867" w:type="dxa"/>
            <w:tcBorders>
              <w:tl2br w:val="nil"/>
              <w:tr2bl w:val="nil"/>
            </w:tcBorders>
            <w:shd w:val="clear" w:color="auto" w:fill="auto"/>
            <w:vAlign w:val="center"/>
          </w:tcPr>
          <w:p w14:paraId="72149CE1">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陈帅</w:t>
            </w:r>
          </w:p>
        </w:tc>
      </w:tr>
      <w:tr w14:paraId="530CEC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720" w:type="dxa"/>
            <w:tcBorders>
              <w:tl2br w:val="nil"/>
              <w:tr2bl w:val="nil"/>
            </w:tcBorders>
            <w:shd w:val="clear" w:color="auto" w:fill="auto"/>
            <w:vAlign w:val="center"/>
          </w:tcPr>
          <w:p w14:paraId="14D64B15">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36</w:t>
            </w:r>
          </w:p>
        </w:tc>
        <w:tc>
          <w:tcPr>
            <w:tcW w:w="2067" w:type="dxa"/>
            <w:tcBorders>
              <w:tl2br w:val="nil"/>
              <w:tr2bl w:val="nil"/>
            </w:tcBorders>
            <w:shd w:val="clear" w:color="auto" w:fill="auto"/>
            <w:vAlign w:val="center"/>
          </w:tcPr>
          <w:p w14:paraId="7C0B2A4F">
            <w:pPr>
              <w:adjustRightInd w:val="0"/>
              <w:snapToGrid w:val="0"/>
              <w:jc w:val="center"/>
              <w:rPr>
                <w:rFonts w:hint="eastAsia" w:asciiTheme="minorEastAsia" w:hAnsiTheme="minorEastAsia" w:cstheme="minorEastAsia"/>
                <w:szCs w:val="21"/>
              </w:rPr>
            </w:pPr>
            <w:r>
              <w:rPr>
                <w:rFonts w:hint="eastAsia" w:asciiTheme="minorEastAsia" w:hAnsiTheme="minorEastAsia" w:cstheme="minorEastAsia"/>
                <w:color w:val="000000"/>
                <w:szCs w:val="21"/>
                <w:lang w:bidi="ar"/>
              </w:rPr>
              <w:t>发展农村初中学生美术核心素养的方法与途径研究</w:t>
            </w:r>
          </w:p>
        </w:tc>
        <w:tc>
          <w:tcPr>
            <w:tcW w:w="760" w:type="dxa"/>
            <w:tcBorders>
              <w:tl2br w:val="nil"/>
              <w:tr2bl w:val="nil"/>
            </w:tcBorders>
            <w:shd w:val="clear" w:color="auto" w:fill="auto"/>
            <w:vAlign w:val="center"/>
          </w:tcPr>
          <w:p w14:paraId="5363160E">
            <w:pPr>
              <w:adjustRightInd w:val="0"/>
              <w:snapToGrid w:val="0"/>
              <w:jc w:val="center"/>
              <w:rPr>
                <w:rFonts w:hint="eastAsia" w:asciiTheme="minorEastAsia" w:hAnsiTheme="minorEastAsia" w:cstheme="minorEastAsia"/>
                <w:szCs w:val="21"/>
              </w:rPr>
            </w:pPr>
            <w:r>
              <w:rPr>
                <w:rFonts w:hint="eastAsia" w:asciiTheme="minorEastAsia" w:hAnsiTheme="minorEastAsia" w:cstheme="minorEastAsia"/>
                <w:color w:val="000000"/>
                <w:szCs w:val="21"/>
                <w:lang w:bidi="ar"/>
              </w:rPr>
              <w:t>美术</w:t>
            </w:r>
          </w:p>
        </w:tc>
        <w:tc>
          <w:tcPr>
            <w:tcW w:w="2170" w:type="dxa"/>
            <w:tcBorders>
              <w:tl2br w:val="nil"/>
              <w:tr2bl w:val="nil"/>
            </w:tcBorders>
            <w:shd w:val="clear" w:color="auto" w:fill="auto"/>
            <w:vAlign w:val="center"/>
          </w:tcPr>
          <w:p w14:paraId="1B51EC95">
            <w:pPr>
              <w:adjustRightInd w:val="0"/>
              <w:snapToGrid w:val="0"/>
              <w:jc w:val="center"/>
              <w:rPr>
                <w:rFonts w:hint="eastAsia" w:asciiTheme="minorEastAsia" w:hAnsiTheme="minorEastAsia" w:cstheme="minorEastAsia"/>
                <w:szCs w:val="21"/>
              </w:rPr>
            </w:pPr>
            <w:r>
              <w:rPr>
                <w:rFonts w:hint="eastAsia" w:asciiTheme="minorEastAsia" w:hAnsiTheme="minorEastAsia" w:cstheme="minorEastAsia"/>
                <w:color w:val="000000"/>
                <w:szCs w:val="21"/>
                <w:lang w:bidi="ar"/>
              </w:rPr>
              <w:t>无</w:t>
            </w:r>
          </w:p>
        </w:tc>
        <w:tc>
          <w:tcPr>
            <w:tcW w:w="7524" w:type="dxa"/>
            <w:tcBorders>
              <w:tl2br w:val="nil"/>
              <w:tr2bl w:val="nil"/>
            </w:tcBorders>
            <w:shd w:val="clear" w:color="auto" w:fill="auto"/>
            <w:vAlign w:val="center"/>
          </w:tcPr>
          <w:p w14:paraId="30EDCD46">
            <w:pPr>
              <w:adjustRightInd w:val="0"/>
              <w:snapToGrid w:val="0"/>
              <w:rPr>
                <w:rFonts w:hint="eastAsia" w:asciiTheme="minorEastAsia" w:hAnsiTheme="minorEastAsia" w:cstheme="minorEastAsia"/>
                <w:szCs w:val="21"/>
              </w:rPr>
            </w:pPr>
            <w:r>
              <w:rPr>
                <w:rFonts w:hint="eastAsia" w:asciiTheme="minorEastAsia" w:hAnsiTheme="minorEastAsia" w:cstheme="minorEastAsia"/>
                <w:color w:val="000000"/>
                <w:szCs w:val="21"/>
              </w:rPr>
              <w:t>近年来，国家对美术教育的重视程度不断提升，尤其在农村地区，美术教育的普及和发展成为教育公平的重要一环。美术核心素养作为学生全面发展的一部分，包括感知与表现、审美与创造、文化理解与传承等方面，对于农村初中学生的素质教育具有重要意义。然而，由于教育资源和环境的限制，农村初中学生在美术教育方面存在显著差距。通过研究农村初中学生美术核心素养的发展方法与途径，旨在探索切实可行的教育策略，弥补城乡教育差距。</w:t>
            </w:r>
          </w:p>
        </w:tc>
        <w:tc>
          <w:tcPr>
            <w:tcW w:w="867" w:type="dxa"/>
            <w:tcBorders>
              <w:tl2br w:val="nil"/>
              <w:tr2bl w:val="nil"/>
            </w:tcBorders>
            <w:shd w:val="clear" w:color="auto" w:fill="auto"/>
            <w:vAlign w:val="center"/>
          </w:tcPr>
          <w:p w14:paraId="2DE8B24C">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孙诗尧</w:t>
            </w:r>
          </w:p>
        </w:tc>
      </w:tr>
      <w:tr w14:paraId="6F05E8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720" w:type="dxa"/>
            <w:tcBorders>
              <w:tl2br w:val="nil"/>
              <w:tr2bl w:val="nil"/>
            </w:tcBorders>
            <w:shd w:val="clear" w:color="auto" w:fill="auto"/>
            <w:vAlign w:val="center"/>
          </w:tcPr>
          <w:p w14:paraId="31D88FC9">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37</w:t>
            </w:r>
          </w:p>
        </w:tc>
        <w:tc>
          <w:tcPr>
            <w:tcW w:w="2067" w:type="dxa"/>
            <w:tcBorders>
              <w:tl2br w:val="nil"/>
              <w:tr2bl w:val="nil"/>
            </w:tcBorders>
            <w:shd w:val="clear" w:color="auto" w:fill="auto"/>
            <w:vAlign w:val="center"/>
          </w:tcPr>
          <w:p w14:paraId="5C10E3D7">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结构化教学视域下初中生美术艺术表现能力培养研究</w:t>
            </w:r>
          </w:p>
        </w:tc>
        <w:tc>
          <w:tcPr>
            <w:tcW w:w="760" w:type="dxa"/>
            <w:tcBorders>
              <w:tl2br w:val="nil"/>
              <w:tr2bl w:val="nil"/>
            </w:tcBorders>
            <w:shd w:val="clear" w:color="auto" w:fill="auto"/>
            <w:vAlign w:val="center"/>
          </w:tcPr>
          <w:p w14:paraId="0F01966F">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lang w:bidi="ar"/>
              </w:rPr>
              <w:t>美术</w:t>
            </w:r>
          </w:p>
        </w:tc>
        <w:tc>
          <w:tcPr>
            <w:tcW w:w="2170" w:type="dxa"/>
            <w:tcBorders>
              <w:tl2br w:val="nil"/>
              <w:tr2bl w:val="nil"/>
            </w:tcBorders>
            <w:shd w:val="clear" w:color="auto" w:fill="auto"/>
            <w:vAlign w:val="center"/>
          </w:tcPr>
          <w:p w14:paraId="4AF4E64F">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lang w:bidi="ar"/>
              </w:rPr>
              <w:t>无</w:t>
            </w:r>
          </w:p>
        </w:tc>
        <w:tc>
          <w:tcPr>
            <w:tcW w:w="7524" w:type="dxa"/>
            <w:tcBorders>
              <w:tl2br w:val="nil"/>
              <w:tr2bl w:val="nil"/>
            </w:tcBorders>
            <w:shd w:val="clear" w:color="auto" w:fill="auto"/>
            <w:vAlign w:val="center"/>
          </w:tcPr>
          <w:p w14:paraId="30343134">
            <w:pPr>
              <w:adjustRightInd w:val="0"/>
              <w:snapToGrid w:val="0"/>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2022年教育部出台了《义务教育艺术课程标准（2022年版）》，相比于2017年颁布的《普通高中美术课程标准（2017年版）》，核心素养得到了进一步的提炼与融合。其中，“美术表现”被升格为“艺术表现”“审美判断”被提炼为“审美感知”。既有“美术”到“艺术”的统整与综合，又有“审美判断”简化而来的“审美感知”，体现了义务教育阶段四项核心素养与高中阶段五项核心素养的层级与衔接。新课标在课程实施上要求教学应指向核心素养的培养，强调教师对所授内容的整合，以帮助学生获得对知识的整体性理解与意义建构，切实提升其能力并逐步构建学生个体的知识体系，从而形成核心素养。结构化教学是指教师基于整体观的视角，将零散、杂乱的知识进行分类和归纳，并设计可供学生学习的知识架构。学生通过对结构化知识的学习，能够在自我意识中将不同内容、主题的知识联结，逐步掌握创作的方法与技能并建构个体知识体系。将结构化教学模式应用于初中美术的教学之中，不仅能够将零散的美术知识进行整合，便于学生学习统整的知识结构；而且能够通过对预期目标的分层设计，帮助学生在掌握创作方法与技能的同时逐步达成素养目标。</w:t>
            </w:r>
          </w:p>
        </w:tc>
        <w:tc>
          <w:tcPr>
            <w:tcW w:w="867" w:type="dxa"/>
            <w:tcBorders>
              <w:tl2br w:val="nil"/>
              <w:tr2bl w:val="nil"/>
            </w:tcBorders>
            <w:shd w:val="clear" w:color="auto" w:fill="auto"/>
            <w:vAlign w:val="center"/>
          </w:tcPr>
          <w:p w14:paraId="5D505CD3">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马丹</w:t>
            </w:r>
          </w:p>
        </w:tc>
      </w:tr>
      <w:tr w14:paraId="35D38C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720" w:type="dxa"/>
            <w:tcBorders>
              <w:tl2br w:val="nil"/>
              <w:tr2bl w:val="nil"/>
            </w:tcBorders>
            <w:shd w:val="clear" w:color="auto" w:fill="auto"/>
            <w:vAlign w:val="center"/>
          </w:tcPr>
          <w:p w14:paraId="50BC8034">
            <w:pPr>
              <w:adjustRightInd w:val="0"/>
              <w:snapToGrid w:val="0"/>
              <w:jc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38</w:t>
            </w:r>
          </w:p>
        </w:tc>
        <w:tc>
          <w:tcPr>
            <w:tcW w:w="2067" w:type="dxa"/>
            <w:tcBorders>
              <w:tl2br w:val="nil"/>
              <w:tr2bl w:val="nil"/>
            </w:tcBorders>
            <w:shd w:val="clear" w:color="auto" w:fill="auto"/>
            <w:vAlign w:val="center"/>
          </w:tcPr>
          <w:p w14:paraId="6A8F23D4">
            <w:pPr>
              <w:adjustRightInd w:val="0"/>
              <w:snapToGrid w:val="0"/>
              <w:jc w:val="center"/>
              <w:rPr>
                <w:rFonts w:hint="eastAsia" w:asciiTheme="minorEastAsia" w:hAnsiTheme="minorEastAsia" w:cstheme="minorEastAsia"/>
                <w:szCs w:val="21"/>
              </w:rPr>
            </w:pPr>
            <w:r>
              <w:rPr>
                <w:rFonts w:hint="eastAsia" w:asciiTheme="minorEastAsia" w:hAnsiTheme="minorEastAsia" w:cstheme="minorEastAsia"/>
                <w:color w:val="000000"/>
                <w:szCs w:val="21"/>
              </w:rPr>
              <w:t>中小学生科学素养的认知诊断测评研究</w:t>
            </w:r>
          </w:p>
        </w:tc>
        <w:tc>
          <w:tcPr>
            <w:tcW w:w="760" w:type="dxa"/>
            <w:tcBorders>
              <w:tl2br w:val="nil"/>
              <w:tr2bl w:val="nil"/>
            </w:tcBorders>
            <w:shd w:val="clear" w:color="auto" w:fill="auto"/>
            <w:vAlign w:val="center"/>
          </w:tcPr>
          <w:p w14:paraId="105E6D29">
            <w:pPr>
              <w:adjustRightInd w:val="0"/>
              <w:snapToGrid w:val="0"/>
              <w:jc w:val="center"/>
              <w:rPr>
                <w:rFonts w:hint="eastAsia" w:asciiTheme="minorEastAsia" w:hAnsiTheme="minorEastAsia" w:cstheme="minorEastAsia"/>
                <w:szCs w:val="21"/>
              </w:rPr>
            </w:pPr>
            <w:r>
              <w:rPr>
                <w:rFonts w:hint="eastAsia" w:asciiTheme="minorEastAsia" w:hAnsiTheme="minorEastAsia" w:cstheme="minorEastAsia"/>
                <w:color w:val="000000"/>
                <w:szCs w:val="21"/>
              </w:rPr>
              <w:t>科学</w:t>
            </w:r>
          </w:p>
        </w:tc>
        <w:tc>
          <w:tcPr>
            <w:tcW w:w="2170" w:type="dxa"/>
            <w:tcBorders>
              <w:tl2br w:val="nil"/>
              <w:tr2bl w:val="nil"/>
            </w:tcBorders>
            <w:shd w:val="clear" w:color="auto" w:fill="auto"/>
            <w:vAlign w:val="center"/>
          </w:tcPr>
          <w:p w14:paraId="118E7C03">
            <w:pPr>
              <w:adjustRightInd w:val="0"/>
              <w:snapToGrid w:val="0"/>
              <w:jc w:val="center"/>
              <w:rPr>
                <w:rFonts w:hint="eastAsia" w:asciiTheme="minorEastAsia" w:hAnsiTheme="minorEastAsia" w:cstheme="minorEastAsia"/>
                <w:szCs w:val="21"/>
              </w:rPr>
            </w:pPr>
            <w:r>
              <w:rPr>
                <w:rFonts w:hint="eastAsia" w:asciiTheme="minorEastAsia" w:hAnsiTheme="minorEastAsia" w:cstheme="minorEastAsia"/>
                <w:color w:val="000000"/>
                <w:szCs w:val="21"/>
              </w:rPr>
              <w:t>无</w:t>
            </w:r>
          </w:p>
        </w:tc>
        <w:tc>
          <w:tcPr>
            <w:tcW w:w="7524" w:type="dxa"/>
            <w:tcBorders>
              <w:tl2br w:val="nil"/>
              <w:tr2bl w:val="nil"/>
            </w:tcBorders>
            <w:shd w:val="clear" w:color="auto" w:fill="auto"/>
            <w:vAlign w:val="center"/>
          </w:tcPr>
          <w:p w14:paraId="223848D2">
            <w:pPr>
              <w:adjustRightInd w:val="0"/>
              <w:snapToGrid w:val="0"/>
              <w:rPr>
                <w:rFonts w:hint="eastAsia" w:asciiTheme="minorEastAsia" w:hAnsiTheme="minorEastAsia" w:cstheme="minorEastAsia"/>
                <w:bCs/>
                <w:szCs w:val="21"/>
              </w:rPr>
            </w:pPr>
            <w:r>
              <w:rPr>
                <w:rFonts w:hint="eastAsia" w:asciiTheme="minorEastAsia" w:hAnsiTheme="minorEastAsia" w:cstheme="minorEastAsia"/>
                <w:bCs/>
                <w:szCs w:val="21"/>
              </w:rPr>
              <w:t>科学素养已成为衡量一个国家创新能力和综合国力的重要指标，是创新型国家建设的基础。落实《关于加强新时代中小学科学教育工作的意见》《全民科学素质行动规划纲要（2021-2035年）》等文件的系统谋划与总体部署，做好科学教育的加法，离不开科学素养的合理测评。认知诊断作为新一代测评理论，得到教育界的广泛关注它</w:t>
            </w:r>
            <w:r>
              <w:rPr>
                <w:rFonts w:hint="eastAsia" w:asciiTheme="minorEastAsia" w:hAnsiTheme="minorEastAsia" w:cstheme="minorEastAsia"/>
                <w:bCs/>
                <w:color w:val="000000" w:themeColor="text1"/>
                <w:szCs w:val="21"/>
                <w14:textFill>
                  <w14:solidFill>
                    <w14:schemeClr w14:val="tx1"/>
                  </w14:solidFill>
                </w14:textFill>
              </w:rPr>
              <w:t>整合了认知科学和心理测量的理论来指导测评，对学生的学习状况进行诊断。认知诊断测评提供了一种全新的诊断评估方法，旨在通过认知科学和统计模型来推断学习者认知技能掌握情况，进一步形成细粒度报告，提供形成性的评价反馈。</w:t>
            </w:r>
            <w:r>
              <w:rPr>
                <w:rFonts w:hint="eastAsia" w:asciiTheme="minorEastAsia" w:hAnsiTheme="minorEastAsia" w:cstheme="minorEastAsia"/>
                <w:bCs/>
                <w:szCs w:val="21"/>
              </w:rPr>
              <w:t>数智驱动的科学素养认知诊断在线测评能实现“学评融合”的教育理念，达成育人导向的评价目标。</w:t>
            </w:r>
          </w:p>
          <w:p w14:paraId="644E6FF0">
            <w:pPr>
              <w:adjustRightInd w:val="0"/>
              <w:snapToGrid w:val="0"/>
              <w:rPr>
                <w:rFonts w:hint="eastAsia" w:asciiTheme="minorEastAsia" w:hAnsiTheme="minorEastAsia" w:cstheme="minorEastAsia"/>
                <w:szCs w:val="21"/>
              </w:rPr>
            </w:pPr>
            <w:r>
              <w:rPr>
                <w:rFonts w:hint="eastAsia" w:asciiTheme="minorEastAsia" w:hAnsiTheme="minorEastAsia" w:cstheme="minorEastAsia"/>
                <w:bCs/>
                <w:color w:val="000000" w:themeColor="text1"/>
                <w:szCs w:val="21"/>
                <w14:textFill>
                  <w14:solidFill>
                    <w14:schemeClr w14:val="tx1"/>
                  </w14:solidFill>
                </w14:textFill>
              </w:rPr>
              <w:t>这一研究立足于国家对学生科学素养提升的迫切需求，正面回应国家重大需求做好“科学教育加法”，落实科学素养系统全面评价。对破解科学素养评价这一焦点问题提供理论、方法与实践支撑。</w:t>
            </w:r>
          </w:p>
        </w:tc>
        <w:tc>
          <w:tcPr>
            <w:tcW w:w="867" w:type="dxa"/>
            <w:tcBorders>
              <w:tl2br w:val="nil"/>
              <w:tr2bl w:val="nil"/>
            </w:tcBorders>
            <w:shd w:val="clear" w:color="auto" w:fill="auto"/>
            <w:vAlign w:val="center"/>
          </w:tcPr>
          <w:p w14:paraId="30292740">
            <w:pPr>
              <w:adjustRightInd w:val="0"/>
              <w:snapToGrid w:val="0"/>
              <w:jc w:val="center"/>
              <w:rPr>
                <w:rFonts w:hint="eastAsia" w:asciiTheme="minorEastAsia" w:hAnsiTheme="minorEastAsia" w:cstheme="minorEastAsia"/>
                <w:szCs w:val="21"/>
              </w:rPr>
            </w:pPr>
            <w:r>
              <w:rPr>
                <w:rFonts w:hint="eastAsia" w:asciiTheme="minorEastAsia" w:hAnsiTheme="minorEastAsia" w:cstheme="minorEastAsia"/>
                <w:color w:val="000000"/>
                <w:szCs w:val="21"/>
              </w:rPr>
              <w:t>武小鹏</w:t>
            </w:r>
          </w:p>
        </w:tc>
      </w:tr>
    </w:tbl>
    <w:p w14:paraId="0FC7CAAC">
      <w:pPr>
        <w:spacing w:line="360" w:lineRule="auto"/>
        <w:jc w:val="right"/>
        <w:rPr>
          <w:rFonts w:hint="eastAsia" w:ascii="宋体" w:hAnsi="宋体" w:eastAsia="宋体" w:cs="宋体"/>
          <w:sz w:val="24"/>
        </w:rPr>
      </w:pPr>
    </w:p>
    <w:sectPr>
      <w:footerReference r:id="rId3" w:type="default"/>
      <w:pgSz w:w="16838" w:h="11906" w:orient="landscape"/>
      <w:pgMar w:top="1803" w:right="1440" w:bottom="1803" w:left="1440" w:header="851" w:footer="992" w:gutter="0"/>
      <w:cols w:space="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FD7C0E">
    <w:pPr>
      <w:pStyle w:val="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730D1F6">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6730D1F6">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9"/>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FiYmE0OWY1ZTg2ZTQyYzNhODIyNzYxM2FhMjNiOTUifQ=="/>
  </w:docVars>
  <w:rsids>
    <w:rsidRoot w:val="008C795A"/>
    <w:rsid w:val="000600B5"/>
    <w:rsid w:val="0017475C"/>
    <w:rsid w:val="00304695"/>
    <w:rsid w:val="00366A57"/>
    <w:rsid w:val="00366A60"/>
    <w:rsid w:val="003D6B3B"/>
    <w:rsid w:val="00471272"/>
    <w:rsid w:val="006B0461"/>
    <w:rsid w:val="006C1A08"/>
    <w:rsid w:val="007255E8"/>
    <w:rsid w:val="007400B5"/>
    <w:rsid w:val="00783DFE"/>
    <w:rsid w:val="00784B45"/>
    <w:rsid w:val="007B5895"/>
    <w:rsid w:val="007B5E60"/>
    <w:rsid w:val="007C7AA3"/>
    <w:rsid w:val="007E60C7"/>
    <w:rsid w:val="008B40DB"/>
    <w:rsid w:val="008C795A"/>
    <w:rsid w:val="00A77E10"/>
    <w:rsid w:val="00AC7C5E"/>
    <w:rsid w:val="00B01CA2"/>
    <w:rsid w:val="00C63777"/>
    <w:rsid w:val="00C714CB"/>
    <w:rsid w:val="00D12C9A"/>
    <w:rsid w:val="00D210B2"/>
    <w:rsid w:val="00DA2FDD"/>
    <w:rsid w:val="00E16275"/>
    <w:rsid w:val="00EF4423"/>
    <w:rsid w:val="00FC384D"/>
    <w:rsid w:val="00FE7BD2"/>
    <w:rsid w:val="014F03EF"/>
    <w:rsid w:val="03CE7CF1"/>
    <w:rsid w:val="03F67248"/>
    <w:rsid w:val="040941E6"/>
    <w:rsid w:val="04BD14C3"/>
    <w:rsid w:val="05D10715"/>
    <w:rsid w:val="0600615C"/>
    <w:rsid w:val="090221EB"/>
    <w:rsid w:val="09E10715"/>
    <w:rsid w:val="0ABD0ABF"/>
    <w:rsid w:val="0AFF1C32"/>
    <w:rsid w:val="0B462A57"/>
    <w:rsid w:val="0B61769D"/>
    <w:rsid w:val="0B9E269F"/>
    <w:rsid w:val="100758F3"/>
    <w:rsid w:val="13EE6630"/>
    <w:rsid w:val="154D7FF3"/>
    <w:rsid w:val="15531B0F"/>
    <w:rsid w:val="15535FAA"/>
    <w:rsid w:val="16532B4C"/>
    <w:rsid w:val="1A430947"/>
    <w:rsid w:val="1ADB592B"/>
    <w:rsid w:val="1B464DA3"/>
    <w:rsid w:val="1CEE23AB"/>
    <w:rsid w:val="1D344C11"/>
    <w:rsid w:val="1DB4387B"/>
    <w:rsid w:val="1E2C58E8"/>
    <w:rsid w:val="1EAC4C7B"/>
    <w:rsid w:val="1F552C1D"/>
    <w:rsid w:val="208A4B48"/>
    <w:rsid w:val="21B37660"/>
    <w:rsid w:val="21CE7F29"/>
    <w:rsid w:val="220152DE"/>
    <w:rsid w:val="249066B4"/>
    <w:rsid w:val="25324D67"/>
    <w:rsid w:val="253701C7"/>
    <w:rsid w:val="257F68E0"/>
    <w:rsid w:val="258C3110"/>
    <w:rsid w:val="25A23030"/>
    <w:rsid w:val="2859377E"/>
    <w:rsid w:val="292A336C"/>
    <w:rsid w:val="2A596B7D"/>
    <w:rsid w:val="2BFF06BF"/>
    <w:rsid w:val="2DAE7CF7"/>
    <w:rsid w:val="2DC45B3D"/>
    <w:rsid w:val="2F000DF7"/>
    <w:rsid w:val="2F377979"/>
    <w:rsid w:val="31542333"/>
    <w:rsid w:val="3240775C"/>
    <w:rsid w:val="32D560F7"/>
    <w:rsid w:val="332E17B4"/>
    <w:rsid w:val="335730F5"/>
    <w:rsid w:val="33FA6AB8"/>
    <w:rsid w:val="361433DA"/>
    <w:rsid w:val="378E6D67"/>
    <w:rsid w:val="38DF7CCF"/>
    <w:rsid w:val="394B6AD2"/>
    <w:rsid w:val="3A392367"/>
    <w:rsid w:val="3AD06868"/>
    <w:rsid w:val="3AD924FC"/>
    <w:rsid w:val="3B1F2605"/>
    <w:rsid w:val="3B6A4BDC"/>
    <w:rsid w:val="3BA17385"/>
    <w:rsid w:val="3BB645EB"/>
    <w:rsid w:val="3D1B61A7"/>
    <w:rsid w:val="3D654C4A"/>
    <w:rsid w:val="3D886978"/>
    <w:rsid w:val="3DDA0E9C"/>
    <w:rsid w:val="3E153EE6"/>
    <w:rsid w:val="3E244653"/>
    <w:rsid w:val="40AD51D9"/>
    <w:rsid w:val="410D2F00"/>
    <w:rsid w:val="41452362"/>
    <w:rsid w:val="423D4B0D"/>
    <w:rsid w:val="42497E62"/>
    <w:rsid w:val="429E4757"/>
    <w:rsid w:val="43423AB2"/>
    <w:rsid w:val="439E1EB8"/>
    <w:rsid w:val="44D22496"/>
    <w:rsid w:val="465931D8"/>
    <w:rsid w:val="467E425A"/>
    <w:rsid w:val="475A4CF6"/>
    <w:rsid w:val="49351245"/>
    <w:rsid w:val="49B22896"/>
    <w:rsid w:val="4B771FE9"/>
    <w:rsid w:val="4E5B3FA1"/>
    <w:rsid w:val="4E994025"/>
    <w:rsid w:val="513D4CBA"/>
    <w:rsid w:val="51441B43"/>
    <w:rsid w:val="514C1822"/>
    <w:rsid w:val="51DD06CC"/>
    <w:rsid w:val="53E93358"/>
    <w:rsid w:val="54F00716"/>
    <w:rsid w:val="57521214"/>
    <w:rsid w:val="57B95737"/>
    <w:rsid w:val="57C739B1"/>
    <w:rsid w:val="59BC37B7"/>
    <w:rsid w:val="5BB3647D"/>
    <w:rsid w:val="5C186ED1"/>
    <w:rsid w:val="5C6C2D78"/>
    <w:rsid w:val="5D380EAD"/>
    <w:rsid w:val="5DE66B5A"/>
    <w:rsid w:val="5EAA7B88"/>
    <w:rsid w:val="5F7F7267"/>
    <w:rsid w:val="6017749F"/>
    <w:rsid w:val="60C90799"/>
    <w:rsid w:val="61B91DA5"/>
    <w:rsid w:val="61F41C82"/>
    <w:rsid w:val="620677CB"/>
    <w:rsid w:val="6208709F"/>
    <w:rsid w:val="62A76355"/>
    <w:rsid w:val="62E25B42"/>
    <w:rsid w:val="63E148CC"/>
    <w:rsid w:val="644705E6"/>
    <w:rsid w:val="666845B1"/>
    <w:rsid w:val="669C24AC"/>
    <w:rsid w:val="66C00AD1"/>
    <w:rsid w:val="67481B42"/>
    <w:rsid w:val="675D1C3B"/>
    <w:rsid w:val="67672DBA"/>
    <w:rsid w:val="67784CC7"/>
    <w:rsid w:val="67B04461"/>
    <w:rsid w:val="68376930"/>
    <w:rsid w:val="6C5B15A2"/>
    <w:rsid w:val="6CB77412"/>
    <w:rsid w:val="6CEC15AD"/>
    <w:rsid w:val="6D273385"/>
    <w:rsid w:val="6E786B72"/>
    <w:rsid w:val="6F3A0E20"/>
    <w:rsid w:val="70BD7BEF"/>
    <w:rsid w:val="71F80EDE"/>
    <w:rsid w:val="72E15E16"/>
    <w:rsid w:val="73A17354"/>
    <w:rsid w:val="74547319"/>
    <w:rsid w:val="74B23345"/>
    <w:rsid w:val="7535244A"/>
    <w:rsid w:val="763E532E"/>
    <w:rsid w:val="764E1DC6"/>
    <w:rsid w:val="775B5A6C"/>
    <w:rsid w:val="799C2A97"/>
    <w:rsid w:val="79CE4C1B"/>
    <w:rsid w:val="79EB1329"/>
    <w:rsid w:val="7AA55415"/>
    <w:rsid w:val="7AB51479"/>
    <w:rsid w:val="7B05641A"/>
    <w:rsid w:val="7B230514"/>
    <w:rsid w:val="7D8B0374"/>
    <w:rsid w:val="7E8A43D6"/>
    <w:rsid w:val="7EF545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paragraph" w:styleId="3">
    <w:name w:val="heading 2"/>
    <w:basedOn w:val="1"/>
    <w:next w:val="1"/>
    <w:unhideWhenUsed/>
    <w:qFormat/>
    <w:uiPriority w:val="0"/>
    <w:pPr>
      <w:keepNext/>
      <w:keepLines/>
      <w:spacing w:before="260" w:after="260" w:line="413" w:lineRule="auto"/>
      <w:outlineLvl w:val="1"/>
    </w:pPr>
    <w:rPr>
      <w:rFonts w:ascii="Arial" w:hAnsi="Arial" w:eastAsia="黑体"/>
      <w:b/>
      <w:sz w:val="32"/>
    </w:rPr>
  </w:style>
  <w:style w:type="paragraph" w:styleId="4">
    <w:name w:val="heading 3"/>
    <w:basedOn w:val="1"/>
    <w:next w:val="1"/>
    <w:semiHidden/>
    <w:unhideWhenUsed/>
    <w:qFormat/>
    <w:uiPriority w:val="0"/>
    <w:pPr>
      <w:spacing w:beforeAutospacing="1" w:afterAutospacing="1"/>
      <w:jc w:val="left"/>
      <w:outlineLvl w:val="2"/>
    </w:pPr>
    <w:rPr>
      <w:rFonts w:hint="eastAsia" w:ascii="宋体" w:hAnsi="宋体" w:eastAsia="宋体" w:cs="Times New Roman"/>
      <w:b/>
      <w:bCs/>
      <w:kern w:val="0"/>
      <w:sz w:val="27"/>
      <w:szCs w:val="27"/>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5">
    <w:name w:val="Body Text"/>
    <w:basedOn w:val="1"/>
    <w:qFormat/>
    <w:uiPriority w:val="1"/>
    <w:pPr>
      <w:ind w:left="118"/>
    </w:pPr>
    <w:rPr>
      <w:sz w:val="24"/>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Normal (Web)"/>
    <w:basedOn w:val="1"/>
    <w:qFormat/>
    <w:uiPriority w:val="0"/>
    <w:pPr>
      <w:spacing w:before="100" w:beforeAutospacing="1" w:after="100" w:afterAutospacing="1"/>
      <w:jc w:val="left"/>
    </w:pPr>
    <w:rPr>
      <w:rFonts w:cs="Times New Roman"/>
      <w:kern w:val="0"/>
      <w:sz w:val="24"/>
    </w:rPr>
  </w:style>
  <w:style w:type="table" w:styleId="10">
    <w:name w:val="Table Grid"/>
    <w:basedOn w:val="9"/>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Hyperlink"/>
    <w:basedOn w:val="11"/>
    <w:autoRedefine/>
    <w:qFormat/>
    <w:uiPriority w:val="0"/>
    <w:rPr>
      <w:color w:val="0000FF"/>
      <w:u w:val="single"/>
    </w:rPr>
  </w:style>
  <w:style w:type="paragraph" w:styleId="13">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BD197C3-8397-406A-AA57-56D3974264F6}">
  <ds:schemaRefs/>
</ds:datastoreItem>
</file>

<file path=docProps/app.xml><?xml version="1.0" encoding="utf-8"?>
<Properties xmlns="http://schemas.openxmlformats.org/officeDocument/2006/extended-properties" xmlns:vt="http://schemas.openxmlformats.org/officeDocument/2006/docPropsVTypes">
  <Template>Normal.dotm</Template>
  <Pages>14</Pages>
  <Words>14148</Words>
  <Characters>14389</Characters>
  <Lines>106</Lines>
  <Paragraphs>29</Paragraphs>
  <TotalTime>0</TotalTime>
  <ScaleCrop>false</ScaleCrop>
  <LinksUpToDate>false</LinksUpToDate>
  <CharactersWithSpaces>14396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2024-03-18T01:13:00Z</dcterms:created>
  <dc:creator>l</dc:creator>
  <cp:lastModifiedBy>注册用户</cp:lastModifiedBy>
  <cp:lastPrinted>2024-06-13T05:55:00Z</cp:lastPrinted>
  <dcterms:modified xsi:type="dcterms:W3CDTF">2024-11-18T08:18:18Z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81C36ED765464A63852308AD30FE6290_13</vt:lpwstr>
  </property>
</Properties>
</file>